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F42F">
      <w:pPr>
        <w:spacing w:line="360" w:lineRule="auto"/>
        <w:jc w:val="center"/>
        <w:outlineLvl w:val="0"/>
        <w:rPr>
          <w:rFonts w:eastAsia="黑体"/>
          <w:sz w:val="36"/>
        </w:rPr>
      </w:pPr>
      <w:bookmarkStart w:id="11" w:name="_GoBack"/>
      <w:bookmarkEnd w:id="11"/>
    </w:p>
    <w:p w14:paraId="591D15C2">
      <w:pPr>
        <w:spacing w:line="360" w:lineRule="auto"/>
        <w:jc w:val="center"/>
        <w:outlineLvl w:val="0"/>
        <w:rPr>
          <w:rFonts w:eastAsia="黑体"/>
          <w:sz w:val="36"/>
        </w:rPr>
      </w:pPr>
      <w:r>
        <w:rPr>
          <w:rFonts w:hint="eastAsia" w:eastAsia="黑体"/>
          <w:sz w:val="36"/>
        </w:rPr>
        <w:t>专利实施许可合同</w:t>
      </w:r>
    </w:p>
    <w:p w14:paraId="445AEED7">
      <w:pPr>
        <w:spacing w:line="360" w:lineRule="auto"/>
        <w:rPr>
          <w:sz w:val="30"/>
        </w:rPr>
      </w:pPr>
    </w:p>
    <w:p w14:paraId="0CF33C30">
      <w:pPr>
        <w:spacing w:line="360" w:lineRule="auto"/>
        <w:rPr>
          <w:sz w:val="30"/>
        </w:rPr>
      </w:pPr>
    </w:p>
    <w:p w14:paraId="57546A7C">
      <w:pPr>
        <w:spacing w:line="360" w:lineRule="auto"/>
        <w:rPr>
          <w:sz w:val="30"/>
          <w:u w:val="single"/>
        </w:rPr>
      </w:pPr>
      <w:r>
        <w:rPr>
          <w:rFonts w:hint="eastAsia"/>
          <w:sz w:val="30"/>
        </w:rPr>
        <w:t xml:space="preserve"> </w:t>
      </w:r>
      <w:r>
        <w:rPr>
          <w:sz w:val="30"/>
        </w:rPr>
        <w:t xml:space="preserve">  </w:t>
      </w:r>
      <w:r>
        <w:rPr>
          <w:rFonts w:hint="eastAsia"/>
          <w:sz w:val="30"/>
        </w:rPr>
        <w:t xml:space="preserve"> </w:t>
      </w:r>
      <w:r>
        <w:rPr>
          <w:sz w:val="30"/>
        </w:rPr>
        <w:t xml:space="preserve"> </w:t>
      </w:r>
      <w:r>
        <w:rPr>
          <w:rFonts w:hint="eastAsia"/>
          <w:sz w:val="30"/>
        </w:rPr>
        <w:t xml:space="preserve"> 许可方 </w:t>
      </w:r>
      <w:r>
        <w:rPr>
          <w:rFonts w:hint="eastAsia"/>
          <w:sz w:val="30"/>
          <w:u w:val="single"/>
        </w:rPr>
        <w:t xml:space="preserve">                                               </w:t>
      </w:r>
    </w:p>
    <w:p w14:paraId="2D3B6E83">
      <w:pPr>
        <w:spacing w:line="360" w:lineRule="auto"/>
        <w:rPr>
          <w:sz w:val="30"/>
          <w:u w:val="single"/>
        </w:rPr>
      </w:pPr>
      <w:r>
        <w:rPr>
          <w:rFonts w:hint="eastAsia"/>
          <w:sz w:val="30"/>
        </w:rPr>
        <w:t xml:space="preserve">    通讯地址 </w:t>
      </w:r>
      <w:r>
        <w:rPr>
          <w:rFonts w:hint="eastAsia"/>
          <w:sz w:val="30"/>
          <w:u w:val="single"/>
        </w:rPr>
        <w:t xml:space="preserve">                                               </w:t>
      </w:r>
    </w:p>
    <w:p w14:paraId="2297F18B">
      <w:pPr>
        <w:spacing w:line="360" w:lineRule="auto"/>
        <w:rPr>
          <w:sz w:val="30"/>
        </w:rPr>
      </w:pPr>
    </w:p>
    <w:p w14:paraId="50E506B8">
      <w:pPr>
        <w:spacing w:line="360" w:lineRule="auto"/>
        <w:rPr>
          <w:sz w:val="30"/>
          <w:u w:val="single"/>
        </w:rPr>
      </w:pPr>
      <w:r>
        <w:rPr>
          <w:rFonts w:hint="eastAsia"/>
          <w:sz w:val="30"/>
        </w:rPr>
        <w:t xml:space="preserve"> </w:t>
      </w:r>
      <w:r>
        <w:rPr>
          <w:sz w:val="30"/>
        </w:rPr>
        <w:t xml:space="preserve">   </w:t>
      </w:r>
      <w:r>
        <w:rPr>
          <w:rFonts w:hint="eastAsia"/>
          <w:sz w:val="30"/>
        </w:rPr>
        <w:t xml:space="preserve">被许可方 </w:t>
      </w:r>
      <w:r>
        <w:rPr>
          <w:rFonts w:hint="eastAsia"/>
          <w:sz w:val="30"/>
          <w:u w:val="single"/>
        </w:rPr>
        <w:t xml:space="preserve">                                               </w:t>
      </w:r>
    </w:p>
    <w:p w14:paraId="2CEB4B2F">
      <w:pPr>
        <w:spacing w:line="360" w:lineRule="auto"/>
        <w:rPr>
          <w:sz w:val="30"/>
          <w:u w:val="single"/>
        </w:rPr>
      </w:pPr>
      <w:r>
        <w:rPr>
          <w:rFonts w:hint="eastAsia"/>
          <w:sz w:val="30"/>
        </w:rPr>
        <w:t xml:space="preserve">    通讯地址 </w:t>
      </w:r>
      <w:r>
        <w:rPr>
          <w:rFonts w:hint="eastAsia"/>
          <w:sz w:val="30"/>
          <w:u w:val="single"/>
        </w:rPr>
        <w:t xml:space="preserve">                                               </w:t>
      </w:r>
    </w:p>
    <w:p w14:paraId="28401143">
      <w:pPr>
        <w:spacing w:line="360" w:lineRule="auto"/>
        <w:rPr>
          <w:sz w:val="30"/>
        </w:rPr>
      </w:pPr>
    </w:p>
    <w:p w14:paraId="0F01D9BB">
      <w:pPr>
        <w:spacing w:line="360" w:lineRule="auto"/>
        <w:rPr>
          <w:sz w:val="30"/>
        </w:rPr>
      </w:pPr>
    </w:p>
    <w:p w14:paraId="5F7037F7">
      <w:pPr>
        <w:spacing w:line="360" w:lineRule="auto"/>
        <w:rPr>
          <w:sz w:val="30"/>
        </w:rPr>
      </w:pPr>
    </w:p>
    <w:p w14:paraId="01B8C6CF">
      <w:pPr>
        <w:spacing w:line="360" w:lineRule="auto"/>
        <w:rPr>
          <w:sz w:val="30"/>
        </w:rPr>
      </w:pPr>
    </w:p>
    <w:p w14:paraId="15024AC2">
      <w:pPr>
        <w:spacing w:line="360" w:lineRule="auto"/>
        <w:rPr>
          <w:sz w:val="30"/>
        </w:rPr>
      </w:pPr>
      <w:r>
        <w:rPr>
          <w:rFonts w:hint="eastAsia"/>
          <w:sz w:val="30"/>
        </w:rPr>
        <w:t xml:space="preserve">        签订地点</w:t>
      </w:r>
    </w:p>
    <w:p w14:paraId="4DEE8811">
      <w:pPr>
        <w:spacing w:line="360" w:lineRule="auto"/>
        <w:rPr>
          <w:sz w:val="30"/>
        </w:rPr>
      </w:pPr>
      <w:r>
        <w:rPr>
          <w:rFonts w:hint="eastAsia"/>
          <w:sz w:val="30"/>
        </w:rPr>
        <w:t xml:space="preserve">        签订日期            年    月    日</w:t>
      </w:r>
    </w:p>
    <w:p w14:paraId="7417CFFC">
      <w:pPr>
        <w:spacing w:line="360" w:lineRule="auto"/>
        <w:rPr>
          <w:sz w:val="30"/>
        </w:rPr>
      </w:pPr>
      <w:r>
        <w:rPr>
          <w:rFonts w:hint="eastAsia"/>
          <w:sz w:val="30"/>
        </w:rPr>
        <w:t xml:space="preserve">        有效期限至          年    月    日</w:t>
      </w:r>
    </w:p>
    <w:p w14:paraId="79E6CB65">
      <w:pPr>
        <w:spacing w:line="360" w:lineRule="auto"/>
        <w:rPr>
          <w:sz w:val="30"/>
        </w:rPr>
      </w:pPr>
    </w:p>
    <w:p w14:paraId="19308E37">
      <w:pPr>
        <w:spacing w:line="360" w:lineRule="auto"/>
        <w:rPr>
          <w:sz w:val="30"/>
        </w:rPr>
      </w:pPr>
    </w:p>
    <w:p w14:paraId="012A1B5B">
      <w:pPr>
        <w:spacing w:line="360" w:lineRule="auto"/>
        <w:rPr>
          <w:sz w:val="30"/>
        </w:rPr>
      </w:pPr>
    </w:p>
    <w:p w14:paraId="19C57D9C">
      <w:pPr>
        <w:spacing w:line="360" w:lineRule="auto"/>
        <w:rPr>
          <w:sz w:val="30"/>
        </w:rPr>
      </w:pPr>
    </w:p>
    <w:p w14:paraId="4F8BAA6F">
      <w:pPr>
        <w:spacing w:line="360" w:lineRule="auto"/>
        <w:rPr>
          <w:sz w:val="30"/>
        </w:rPr>
      </w:pPr>
    </w:p>
    <w:p w14:paraId="770E48D8">
      <w:pPr>
        <w:spacing w:line="360" w:lineRule="auto"/>
        <w:rPr>
          <w:sz w:val="30"/>
        </w:rPr>
      </w:pPr>
    </w:p>
    <w:p w14:paraId="31F0970D">
      <w:pPr>
        <w:spacing w:line="360" w:lineRule="auto"/>
        <w:jc w:val="center"/>
        <w:outlineLvl w:val="0"/>
        <w:rPr>
          <w:rFonts w:eastAsia="黑体"/>
          <w:sz w:val="30"/>
        </w:rPr>
      </w:pPr>
      <w:r>
        <w:rPr>
          <w:rFonts w:hint="eastAsia" w:eastAsia="黑体"/>
          <w:sz w:val="30"/>
        </w:rPr>
        <w:t>国家知识产权局监制</w:t>
      </w:r>
    </w:p>
    <w:p w14:paraId="486C22F0">
      <w:pPr>
        <w:spacing w:line="360" w:lineRule="auto"/>
        <w:jc w:val="center"/>
        <w:outlineLvl w:val="0"/>
        <w:rPr>
          <w:rFonts w:eastAsia="黑体"/>
          <w:sz w:val="30"/>
        </w:rPr>
      </w:pPr>
      <w:r>
        <w:rPr>
          <w:rFonts w:hint="eastAsia" w:eastAsia="黑体"/>
          <w:sz w:val="30"/>
        </w:rPr>
        <w:t>2023年6月</w:t>
      </w:r>
    </w:p>
    <w:p w14:paraId="4D35BD72">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14:paraId="2F5CC9A1">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14:paraId="4C74FD8B">
      <w:pPr>
        <w:widowControl/>
        <w:adjustRightInd w:val="0"/>
        <w:snapToGrid w:val="0"/>
        <w:spacing w:line="276" w:lineRule="auto"/>
        <w:rPr>
          <w:rFonts w:ascii="宋体" w:hAnsi="宋体"/>
          <w:sz w:val="28"/>
          <w:szCs w:val="28"/>
        </w:rPr>
      </w:pPr>
    </w:p>
    <w:p w14:paraId="6A3CC3AE">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本专利实施许可合同（“</w:t>
      </w:r>
      <w:r>
        <w:rPr>
          <w:rFonts w:ascii="宋体" w:hAnsi="宋体"/>
          <w:b/>
          <w:sz w:val="28"/>
          <w:szCs w:val="28"/>
        </w:rPr>
        <w:t>本合同</w:t>
      </w:r>
      <w:r>
        <w:rPr>
          <w:rFonts w:ascii="宋体" w:hAnsi="宋体"/>
          <w:sz w:val="28"/>
          <w:szCs w:val="28"/>
        </w:rPr>
        <w:t>”）由以下双方于</w:t>
      </w:r>
      <w:r>
        <w:rPr>
          <w:rFonts w:ascii="宋体" w:hAnsi="宋体"/>
          <w:sz w:val="28"/>
          <w:szCs w:val="28"/>
          <w:u w:val="single"/>
        </w:rPr>
        <w:tab/>
      </w:r>
      <w:r>
        <w:rPr>
          <w:rFonts w:ascii="宋体" w:hAnsi="宋体"/>
          <w:sz w:val="28"/>
          <w:szCs w:val="28"/>
          <w:u w:val="single"/>
        </w:rPr>
        <w:tab/>
      </w:r>
      <w:r>
        <w:rPr>
          <w:rFonts w:ascii="宋体" w:hAnsi="宋体"/>
          <w:sz w:val="28"/>
          <w:szCs w:val="28"/>
        </w:rPr>
        <w:t>年</w:t>
      </w: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14:paraId="373EC94D">
      <w:pPr>
        <w:widowControl/>
        <w:adjustRightInd w:val="0"/>
        <w:snapToGrid w:val="0"/>
        <w:spacing w:line="276" w:lineRule="auto"/>
        <w:rPr>
          <w:rFonts w:ascii="宋体" w:hAnsi="宋体"/>
          <w:sz w:val="28"/>
          <w:szCs w:val="28"/>
        </w:rPr>
      </w:pPr>
    </w:p>
    <w:p w14:paraId="010A1A77">
      <w:pPr>
        <w:widowControl/>
        <w:adjustRightInd w:val="0"/>
        <w:snapToGrid w:val="0"/>
        <w:spacing w:line="276" w:lineRule="auto"/>
        <w:rPr>
          <w:rFonts w:ascii="宋体" w:hAnsi="宋体"/>
          <w:sz w:val="28"/>
          <w:szCs w:val="28"/>
        </w:rPr>
      </w:pPr>
      <w:r>
        <w:rPr>
          <w:rFonts w:ascii="宋体" w:hAnsi="宋体"/>
          <w:sz w:val="28"/>
          <w:szCs w:val="28"/>
        </w:rPr>
        <w:t>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p>
    <w:p w14:paraId="1E9AC58E">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86EA985">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5BD63256">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9488AAF">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559DDB71">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3D62EF2A">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2D891F3">
      <w:pPr>
        <w:widowControl/>
        <w:adjustRightInd w:val="0"/>
        <w:snapToGrid w:val="0"/>
        <w:spacing w:line="276" w:lineRule="auto"/>
        <w:rPr>
          <w:rFonts w:ascii="宋体" w:hAnsi="宋体"/>
          <w:sz w:val="28"/>
          <w:szCs w:val="28"/>
        </w:rPr>
      </w:pPr>
    </w:p>
    <w:p w14:paraId="661E41BA">
      <w:pPr>
        <w:widowControl/>
        <w:adjustRightInd w:val="0"/>
        <w:snapToGrid w:val="0"/>
        <w:spacing w:line="276" w:lineRule="auto"/>
        <w:rPr>
          <w:rFonts w:ascii="宋体" w:hAnsi="宋体"/>
          <w:sz w:val="28"/>
          <w:szCs w:val="28"/>
        </w:rPr>
      </w:pPr>
      <w:r>
        <w:rPr>
          <w:rFonts w:ascii="宋体" w:hAnsi="宋体"/>
          <w:sz w:val="28"/>
          <w:szCs w:val="28"/>
        </w:rPr>
        <w:t>被许可方：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p>
    <w:p w14:paraId="3781410E">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73335F9">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EBA334C">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997930E">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53F69B1">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A30F01D">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4B29568">
      <w:pPr>
        <w:widowControl/>
        <w:adjustRightInd w:val="0"/>
        <w:snapToGrid w:val="0"/>
        <w:spacing w:line="276" w:lineRule="auto"/>
        <w:rPr>
          <w:rFonts w:ascii="宋体" w:hAnsi="宋体"/>
          <w:sz w:val="28"/>
          <w:szCs w:val="28"/>
        </w:rPr>
      </w:pPr>
    </w:p>
    <w:p w14:paraId="33AA90AB">
      <w:pPr>
        <w:widowControl/>
        <w:adjustRightInd w:val="0"/>
        <w:snapToGrid w:val="0"/>
        <w:spacing w:line="276" w:lineRule="auto"/>
        <w:ind w:firstLine="560" w:firstLineChars="200"/>
        <w:rPr>
          <w:rFonts w:ascii="宋体" w:hAnsi="宋体"/>
          <w:sz w:val="28"/>
          <w:szCs w:val="28"/>
        </w:rPr>
      </w:pPr>
      <w:r>
        <w:rPr>
          <w:rFonts w:ascii="宋体" w:hAnsi="宋体"/>
          <w:sz w:val="28"/>
          <w:szCs w:val="28"/>
        </w:rPr>
        <w:t>许可方、被许可方单独称“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14:paraId="67CB9AB0">
      <w:pPr>
        <w:widowControl/>
        <w:adjustRightInd w:val="0"/>
        <w:snapToGrid w:val="0"/>
        <w:spacing w:line="276" w:lineRule="auto"/>
        <w:rPr>
          <w:rFonts w:ascii="宋体" w:hAnsi="宋体"/>
          <w:sz w:val="28"/>
          <w:szCs w:val="28"/>
        </w:rPr>
      </w:pPr>
    </w:p>
    <w:p w14:paraId="38C9AA33">
      <w:pPr>
        <w:widowControl/>
        <w:adjustRightInd w:val="0"/>
        <w:snapToGrid w:val="0"/>
        <w:spacing w:line="276" w:lineRule="auto"/>
        <w:rPr>
          <w:rFonts w:ascii="宋体" w:hAnsi="宋体"/>
          <w:sz w:val="28"/>
          <w:szCs w:val="28"/>
        </w:rPr>
      </w:pPr>
      <w:r>
        <w:rPr>
          <w:rFonts w:ascii="宋体" w:hAnsi="宋体"/>
          <w:sz w:val="28"/>
          <w:szCs w:val="28"/>
        </w:rPr>
        <w:t>鉴于：</w:t>
      </w:r>
    </w:p>
    <w:p w14:paraId="02DAE788">
      <w:pPr>
        <w:widowControl/>
        <w:adjustRightInd w:val="0"/>
        <w:snapToGrid w:val="0"/>
        <w:spacing w:line="276" w:lineRule="auto"/>
        <w:rPr>
          <w:rFonts w:ascii="宋体" w:hAnsi="宋体"/>
          <w:sz w:val="28"/>
          <w:szCs w:val="28"/>
        </w:rPr>
      </w:pPr>
    </w:p>
    <w:p w14:paraId="7BE539C2">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w:t>
      </w:r>
      <w:r>
        <w:rPr>
          <w:rFonts w:hint="eastAsia" w:ascii="宋体" w:hAnsi="宋体"/>
          <w:sz w:val="28"/>
          <w:szCs w:val="28"/>
        </w:rPr>
        <w:t>为</w:t>
      </w:r>
      <w:r>
        <w:rPr>
          <w:rFonts w:ascii="宋体" w:hAnsi="宋体"/>
          <w:sz w:val="28"/>
          <w:szCs w:val="28"/>
        </w:rPr>
        <w:t>许可专利（定义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（权利人/权利人的委托人/分许可人）。</w:t>
      </w:r>
    </w:p>
    <w:p w14:paraId="2BAA77F3">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被许可方希望获得许可而实施许可</w:t>
      </w:r>
      <w:r>
        <w:rPr>
          <w:rFonts w:hint="eastAsia" w:ascii="宋体" w:hAnsi="宋体"/>
          <w:sz w:val="28"/>
          <w:szCs w:val="28"/>
        </w:rPr>
        <w:t>专利。</w:t>
      </w:r>
    </w:p>
    <w:p w14:paraId="59B12600">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许可方同意向被许可方授予所请求的许可</w:t>
      </w:r>
      <w:r>
        <w:rPr>
          <w:rFonts w:hint="eastAsia" w:ascii="宋体" w:hAnsi="宋体"/>
          <w:sz w:val="28"/>
          <w:szCs w:val="28"/>
        </w:rPr>
        <w:t>。</w:t>
      </w:r>
    </w:p>
    <w:p w14:paraId="657A357E">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5D014200">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2526C3B4">
      <w:pPr>
        <w:widowControl/>
        <w:adjustRightInd w:val="0"/>
        <w:snapToGrid w:val="0"/>
        <w:spacing w:line="276" w:lineRule="auto"/>
        <w:rPr>
          <w:rFonts w:ascii="宋体" w:hAnsi="宋体"/>
          <w:sz w:val="28"/>
          <w:szCs w:val="28"/>
        </w:rPr>
      </w:pPr>
    </w:p>
    <w:p w14:paraId="7B28A32C">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14:paraId="151964CF">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第一条  名词和术语（定义条款）</w:t>
      </w:r>
    </w:p>
    <w:p w14:paraId="1D702782">
      <w:pPr>
        <w:widowControl/>
        <w:adjustRightInd w:val="0"/>
        <w:snapToGrid w:val="0"/>
        <w:spacing w:line="276" w:lineRule="auto"/>
        <w:rPr>
          <w:rFonts w:ascii="宋体" w:hAnsi="宋体"/>
          <w:sz w:val="28"/>
          <w:szCs w:val="28"/>
        </w:rPr>
      </w:pPr>
    </w:p>
    <w:p w14:paraId="628D3C7C">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14:paraId="224AC189">
      <w:pPr>
        <w:widowControl/>
        <w:adjustRightInd w:val="0"/>
        <w:snapToGrid w:val="0"/>
        <w:spacing w:line="276" w:lineRule="auto"/>
        <w:rPr>
          <w:rFonts w:ascii="宋体" w:hAnsi="宋体"/>
          <w:sz w:val="28"/>
          <w:szCs w:val="28"/>
        </w:rPr>
      </w:pPr>
    </w:p>
    <w:p w14:paraId="430CBD5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14:paraId="6A41E5FA">
      <w:pPr>
        <w:pStyle w:val="17"/>
        <w:ind w:firstLine="560"/>
        <w:rPr>
          <w:rFonts w:ascii="宋体" w:hAnsi="宋体"/>
          <w:sz w:val="28"/>
          <w:szCs w:val="28"/>
        </w:rPr>
      </w:pPr>
    </w:p>
    <w:p w14:paraId="6ABD00D2">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许可专利</w:t>
      </w:r>
      <w:r>
        <w:rPr>
          <w:rFonts w:hint="eastAsia" w:ascii="宋体" w:hAnsi="宋体"/>
          <w:sz w:val="28"/>
          <w:szCs w:val="28"/>
        </w:rPr>
        <w:t>”“</w:t>
      </w:r>
      <w:r>
        <w:rPr>
          <w:rFonts w:hint="eastAsia" w:ascii="宋体" w:hAnsi="宋体"/>
          <w:b/>
          <w:sz w:val="28"/>
          <w:szCs w:val="28"/>
        </w:rPr>
        <w:t>许可期限</w:t>
      </w:r>
      <w:r>
        <w:rPr>
          <w:rFonts w:hint="eastAsia" w:ascii="宋体" w:hAnsi="宋体"/>
          <w:sz w:val="28"/>
          <w:szCs w:val="28"/>
        </w:rPr>
        <w:t>”“</w:t>
      </w:r>
      <w:r>
        <w:rPr>
          <w:rFonts w:hint="eastAsia" w:ascii="宋体" w:hAnsi="宋体"/>
          <w:b/>
          <w:sz w:val="28"/>
          <w:szCs w:val="28"/>
        </w:rPr>
        <w:t>许可区域</w:t>
      </w:r>
      <w:r>
        <w:rPr>
          <w:rFonts w:hint="eastAsia" w:ascii="宋体" w:hAnsi="宋体"/>
          <w:sz w:val="28"/>
          <w:szCs w:val="28"/>
        </w:rPr>
        <w:t>”“</w:t>
      </w:r>
      <w:r>
        <w:rPr>
          <w:rFonts w:hint="eastAsia" w:ascii="宋体" w:hAnsi="宋体"/>
          <w:b/>
          <w:sz w:val="28"/>
          <w:szCs w:val="28"/>
        </w:rPr>
        <w:t>许可实施行为</w:t>
      </w:r>
      <w:r>
        <w:rPr>
          <w:rFonts w:hint="eastAsia" w:ascii="宋体" w:hAnsi="宋体"/>
          <w:sz w:val="28"/>
          <w:szCs w:val="28"/>
        </w:rPr>
        <w:t>”应具有本合同第二条所规定的含义。</w:t>
      </w:r>
    </w:p>
    <w:p w14:paraId="672721D8">
      <w:pPr>
        <w:pStyle w:val="17"/>
        <w:ind w:firstLine="560"/>
        <w:rPr>
          <w:rFonts w:ascii="宋体" w:hAnsi="宋体"/>
          <w:sz w:val="28"/>
          <w:szCs w:val="28"/>
        </w:rPr>
      </w:pPr>
    </w:p>
    <w:p w14:paraId="75509E2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w:t>
      </w:r>
      <w:r>
        <w:rPr>
          <w:rFonts w:ascii="宋体" w:hAnsi="宋体"/>
          <w:b/>
          <w:sz w:val="28"/>
          <w:szCs w:val="28"/>
        </w:rPr>
        <w:t>普通实施许可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w:t>
      </w:r>
      <w:r>
        <w:rPr>
          <w:rFonts w:hint="eastAsia" w:ascii="宋体" w:hAnsi="宋体"/>
          <w:sz w:val="28"/>
          <w:szCs w:val="28"/>
        </w:rPr>
        <w:t>，</w:t>
      </w:r>
      <w:r>
        <w:rPr>
          <w:rFonts w:ascii="宋体" w:hAnsi="宋体"/>
          <w:sz w:val="28"/>
          <w:szCs w:val="28"/>
        </w:rPr>
        <w:t>许可</w:t>
      </w:r>
      <w:r>
        <w:rPr>
          <w:rFonts w:hint="eastAsia" w:ascii="宋体" w:hAnsi="宋体"/>
          <w:sz w:val="28"/>
          <w:szCs w:val="28"/>
        </w:rPr>
        <w:t>被许可方</w:t>
      </w:r>
      <w:r>
        <w:rPr>
          <w:rFonts w:ascii="宋体" w:hAnsi="宋体"/>
          <w:sz w:val="28"/>
          <w:szCs w:val="28"/>
        </w:rPr>
        <w:t>实施该</w:t>
      </w:r>
      <w:r>
        <w:rPr>
          <w:rFonts w:hint="eastAsia" w:ascii="宋体" w:hAnsi="宋体"/>
          <w:sz w:val="28"/>
          <w:szCs w:val="28"/>
        </w:rPr>
        <w:t>许可</w:t>
      </w:r>
      <w:r>
        <w:rPr>
          <w:rFonts w:ascii="宋体" w:hAnsi="宋体"/>
          <w:sz w:val="28"/>
          <w:szCs w:val="28"/>
        </w:rPr>
        <w:t>专利，并且</w:t>
      </w:r>
      <w:r>
        <w:rPr>
          <w:rFonts w:hint="eastAsia" w:ascii="宋体" w:hAnsi="宋体"/>
          <w:sz w:val="28"/>
          <w:szCs w:val="28"/>
        </w:rPr>
        <w:t>保留</w:t>
      </w:r>
      <w:r>
        <w:rPr>
          <w:rFonts w:ascii="宋体" w:hAnsi="宋体"/>
          <w:sz w:val="28"/>
          <w:szCs w:val="28"/>
        </w:rPr>
        <w:t>自行实施</w:t>
      </w:r>
      <w:r>
        <w:rPr>
          <w:rFonts w:hint="eastAsia" w:ascii="宋体" w:hAnsi="宋体"/>
          <w:sz w:val="28"/>
          <w:szCs w:val="28"/>
        </w:rPr>
        <w:t>或许可被许可方以外的单位或者个人实施</w:t>
      </w:r>
      <w:r>
        <w:rPr>
          <w:rFonts w:ascii="宋体" w:hAnsi="宋体"/>
          <w:sz w:val="28"/>
          <w:szCs w:val="28"/>
        </w:rPr>
        <w:t>该</w:t>
      </w:r>
      <w:r>
        <w:rPr>
          <w:rFonts w:hint="eastAsia" w:ascii="宋体" w:hAnsi="宋体"/>
          <w:sz w:val="28"/>
          <w:szCs w:val="28"/>
        </w:rPr>
        <w:t>许可</w:t>
      </w:r>
      <w:r>
        <w:rPr>
          <w:rFonts w:ascii="宋体" w:hAnsi="宋体"/>
          <w:sz w:val="28"/>
          <w:szCs w:val="28"/>
        </w:rPr>
        <w:t>专利</w:t>
      </w:r>
      <w:r>
        <w:rPr>
          <w:rFonts w:hint="eastAsia" w:ascii="宋体" w:hAnsi="宋体"/>
          <w:sz w:val="28"/>
          <w:szCs w:val="28"/>
        </w:rPr>
        <w:t>的权利</w:t>
      </w:r>
      <w:r>
        <w:rPr>
          <w:rFonts w:ascii="宋体" w:hAnsi="宋体"/>
          <w:sz w:val="28"/>
          <w:szCs w:val="28"/>
        </w:rPr>
        <w:t>。</w:t>
      </w:r>
    </w:p>
    <w:p w14:paraId="591EAFEF">
      <w:pPr>
        <w:pStyle w:val="17"/>
        <w:ind w:firstLine="560"/>
        <w:rPr>
          <w:rFonts w:ascii="宋体" w:hAnsi="宋体"/>
          <w:sz w:val="28"/>
          <w:szCs w:val="28"/>
        </w:rPr>
      </w:pPr>
    </w:p>
    <w:p w14:paraId="4986CB3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w:t>
      </w:r>
      <w:r>
        <w:rPr>
          <w:rFonts w:ascii="宋体" w:hAnsi="宋体"/>
          <w:b/>
          <w:sz w:val="28"/>
          <w:szCs w:val="28"/>
        </w:rPr>
        <w:t>排他实施许可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实施，但许可</w:t>
      </w:r>
      <w:r>
        <w:rPr>
          <w:rFonts w:hint="eastAsia" w:ascii="宋体" w:hAnsi="宋体"/>
          <w:sz w:val="28"/>
          <w:szCs w:val="28"/>
        </w:rPr>
        <w:t>方</w:t>
      </w:r>
      <w:r>
        <w:rPr>
          <w:rFonts w:ascii="宋体" w:hAnsi="宋体"/>
          <w:sz w:val="28"/>
          <w:szCs w:val="28"/>
        </w:rPr>
        <w:t>依约定可以自行实施该</w:t>
      </w:r>
      <w:r>
        <w:rPr>
          <w:rFonts w:hint="eastAsia" w:ascii="宋体" w:hAnsi="宋体"/>
          <w:sz w:val="28"/>
          <w:szCs w:val="28"/>
        </w:rPr>
        <w:t>许可</w:t>
      </w:r>
      <w:r>
        <w:rPr>
          <w:rFonts w:ascii="宋体" w:hAnsi="宋体"/>
          <w:sz w:val="28"/>
          <w:szCs w:val="28"/>
        </w:rPr>
        <w:t>专利。</w:t>
      </w:r>
    </w:p>
    <w:p w14:paraId="734FA285">
      <w:pPr>
        <w:pStyle w:val="17"/>
        <w:ind w:firstLine="560"/>
        <w:rPr>
          <w:rFonts w:ascii="宋体" w:hAnsi="宋体"/>
          <w:sz w:val="28"/>
          <w:szCs w:val="28"/>
        </w:rPr>
      </w:pPr>
    </w:p>
    <w:p w14:paraId="454596E3">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ascii="宋体" w:hAnsi="宋体"/>
          <w:sz w:val="28"/>
          <w:szCs w:val="28"/>
        </w:rPr>
        <w:t>“</w:t>
      </w:r>
      <w:r>
        <w:rPr>
          <w:rFonts w:ascii="宋体" w:hAnsi="宋体"/>
          <w:b/>
          <w:sz w:val="28"/>
          <w:szCs w:val="28"/>
        </w:rPr>
        <w:t>独占实施许可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实施，许可</w:t>
      </w:r>
      <w:r>
        <w:rPr>
          <w:rFonts w:hint="eastAsia" w:ascii="宋体" w:hAnsi="宋体"/>
          <w:sz w:val="28"/>
          <w:szCs w:val="28"/>
        </w:rPr>
        <w:t>方</w:t>
      </w:r>
      <w:r>
        <w:rPr>
          <w:rFonts w:ascii="宋体" w:hAnsi="宋体"/>
          <w:sz w:val="28"/>
          <w:szCs w:val="28"/>
        </w:rPr>
        <w:t>依约定不得实施该</w:t>
      </w:r>
      <w:r>
        <w:rPr>
          <w:rFonts w:hint="eastAsia" w:ascii="宋体" w:hAnsi="宋体"/>
          <w:sz w:val="28"/>
          <w:szCs w:val="28"/>
        </w:rPr>
        <w:t>许可</w:t>
      </w:r>
      <w:r>
        <w:rPr>
          <w:rFonts w:ascii="宋体" w:hAnsi="宋体"/>
          <w:sz w:val="28"/>
          <w:szCs w:val="28"/>
        </w:rPr>
        <w:t>专利。</w:t>
      </w:r>
    </w:p>
    <w:p w14:paraId="78F203BF">
      <w:pPr>
        <w:pStyle w:val="17"/>
        <w:ind w:firstLine="560"/>
        <w:rPr>
          <w:rFonts w:ascii="宋体" w:hAnsi="宋体"/>
          <w:sz w:val="28"/>
          <w:szCs w:val="28"/>
        </w:rPr>
      </w:pPr>
    </w:p>
    <w:p w14:paraId="22680DD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ascii="宋体" w:hAnsi="宋体"/>
          <w:sz w:val="28"/>
          <w:szCs w:val="28"/>
        </w:rPr>
        <w:t>“</w:t>
      </w:r>
      <w:r>
        <w:rPr>
          <w:rFonts w:ascii="宋体" w:hAnsi="宋体"/>
          <w:b/>
          <w:sz w:val="28"/>
          <w:szCs w:val="28"/>
        </w:rPr>
        <w:t>分许可</w:t>
      </w:r>
      <w:r>
        <w:rPr>
          <w:rFonts w:ascii="宋体" w:hAnsi="宋体"/>
          <w:sz w:val="28"/>
          <w:szCs w:val="28"/>
        </w:rPr>
        <w:t>”是指被许可方</w:t>
      </w:r>
      <w:r>
        <w:rPr>
          <w:rFonts w:hint="eastAsia" w:ascii="宋体" w:hAnsi="宋体"/>
          <w:sz w:val="28"/>
          <w:szCs w:val="28"/>
        </w:rPr>
        <w:t>依约定</w:t>
      </w:r>
      <w:r>
        <w:rPr>
          <w:rFonts w:ascii="宋体" w:hAnsi="宋体"/>
          <w:sz w:val="28"/>
          <w:szCs w:val="28"/>
        </w:rPr>
        <w:t>将本合同涉及的许可专利许可给包括关联方在内的第三方。</w:t>
      </w:r>
    </w:p>
    <w:p w14:paraId="7C373403">
      <w:pPr>
        <w:pStyle w:val="17"/>
        <w:ind w:firstLine="560"/>
        <w:rPr>
          <w:rFonts w:ascii="宋体" w:hAnsi="宋体"/>
          <w:sz w:val="28"/>
          <w:szCs w:val="28"/>
        </w:rPr>
      </w:pPr>
    </w:p>
    <w:p w14:paraId="51F616C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关联方</w:t>
      </w:r>
      <w:r>
        <w:rPr>
          <w:rFonts w:hint="eastAsia" w:ascii="宋体" w:hAnsi="宋体"/>
          <w:sz w:val="28"/>
          <w:szCs w:val="28"/>
        </w:rPr>
        <w:t>”应具有以下第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项所规定的含义：</w:t>
      </w:r>
    </w:p>
    <w:p w14:paraId="30496FD9">
      <w:pPr>
        <w:widowControl/>
        <w:adjustRightInd w:val="0"/>
        <w:snapToGrid w:val="0"/>
        <w:spacing w:line="276" w:lineRule="auto"/>
        <w:ind w:left="567"/>
        <w:rPr>
          <w:rFonts w:ascii="宋体" w:hAnsi="宋体"/>
          <w:sz w:val="28"/>
          <w:szCs w:val="28"/>
        </w:rPr>
      </w:pPr>
    </w:p>
    <w:p w14:paraId="2FF256B8">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(1)就任一方而言，关联方指由该一方控制、控制该一方、或与该一方处于同一控制之下的主体。“</w:t>
      </w:r>
      <w:r>
        <w:rPr>
          <w:rFonts w:hint="eastAsia" w:ascii="宋体" w:hAnsi="宋体"/>
          <w:b/>
          <w:sz w:val="28"/>
          <w:szCs w:val="28"/>
        </w:rPr>
        <w:t>控制</w:t>
      </w:r>
      <w:r>
        <w:rPr>
          <w:rFonts w:hint="eastAsia" w:ascii="宋体" w:hAnsi="宋体"/>
          <w:sz w:val="28"/>
          <w:szCs w:val="28"/>
        </w:rPr>
        <w:t>”指①直接或间接持有该主体百分之五十以上的股份表决权；或②通过股份、权益，或通过合同等其他方式，拥有决定或影响该主体管理或政策的权力。</w:t>
      </w:r>
    </w:p>
    <w:p w14:paraId="57A2E430">
      <w:pPr>
        <w:pStyle w:val="17"/>
        <w:ind w:firstLine="560"/>
        <w:rPr>
          <w:rFonts w:ascii="宋体" w:hAnsi="宋体"/>
          <w:sz w:val="28"/>
          <w:szCs w:val="28"/>
        </w:rPr>
      </w:pPr>
    </w:p>
    <w:p w14:paraId="7ED16C3A">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(2)本合同所称“</w:t>
      </w:r>
      <w:r>
        <w:rPr>
          <w:rFonts w:hint="eastAsia" w:ascii="宋体" w:hAnsi="宋体"/>
          <w:b/>
          <w:sz w:val="28"/>
          <w:szCs w:val="28"/>
        </w:rPr>
        <w:t>关联方</w:t>
      </w:r>
      <w:r>
        <w:rPr>
          <w:rFonts w:hint="eastAsia" w:ascii="宋体" w:hAnsi="宋体"/>
          <w:sz w:val="28"/>
          <w:szCs w:val="28"/>
        </w:rPr>
        <w:t>”应具有本合同附件一所规定的含义。</w:t>
      </w:r>
    </w:p>
    <w:p w14:paraId="7AEF5FB3">
      <w:pPr>
        <w:pStyle w:val="17"/>
        <w:ind w:firstLine="560"/>
        <w:rPr>
          <w:rFonts w:ascii="宋体" w:hAnsi="宋体"/>
          <w:sz w:val="28"/>
          <w:szCs w:val="28"/>
        </w:rPr>
      </w:pPr>
    </w:p>
    <w:p w14:paraId="2717D3C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hint="eastAsia" w:ascii="宋体" w:hAnsi="宋体"/>
          <w:b/>
          <w:sz w:val="28"/>
          <w:szCs w:val="28"/>
        </w:rPr>
        <w:t>许可费</w:t>
      </w:r>
      <w:r>
        <w:rPr>
          <w:rFonts w:hint="eastAsia" w:ascii="宋体" w:hAnsi="宋体"/>
          <w:sz w:val="28"/>
          <w:szCs w:val="28"/>
        </w:rPr>
        <w:t>”“</w:t>
      </w:r>
      <w:r>
        <w:rPr>
          <w:rFonts w:hint="eastAsia" w:ascii="宋体" w:hAnsi="宋体"/>
          <w:b/>
          <w:sz w:val="28"/>
          <w:szCs w:val="28"/>
        </w:rPr>
        <w:t>许可产品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”应具有本合同第三条所规定的含义。</w:t>
      </w:r>
    </w:p>
    <w:p w14:paraId="79B9632D">
      <w:pPr>
        <w:pStyle w:val="17"/>
        <w:ind w:firstLine="560"/>
        <w:rPr>
          <w:rFonts w:ascii="宋体" w:hAnsi="宋体"/>
          <w:sz w:val="28"/>
          <w:szCs w:val="28"/>
        </w:rPr>
      </w:pPr>
    </w:p>
    <w:p w14:paraId="2572643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w:t>
      </w:r>
      <w:r>
        <w:rPr>
          <w:rFonts w:hint="eastAsia" w:ascii="宋体" w:hAnsi="宋体"/>
          <w:b/>
          <w:sz w:val="28"/>
          <w:szCs w:val="28"/>
        </w:rPr>
        <w:t>技术资料</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”应具有本合同第四条所规定的含义。</w:t>
      </w:r>
    </w:p>
    <w:p w14:paraId="575FF4C1">
      <w:pPr>
        <w:pStyle w:val="17"/>
        <w:ind w:firstLine="560"/>
        <w:rPr>
          <w:rFonts w:ascii="宋体" w:hAnsi="宋体"/>
          <w:sz w:val="28"/>
          <w:szCs w:val="28"/>
        </w:rPr>
      </w:pPr>
    </w:p>
    <w:p w14:paraId="7ACFB143">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10.“</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”应具有本合同第五条所规定的含义。</w:t>
      </w:r>
    </w:p>
    <w:p w14:paraId="4C1B065F">
      <w:pPr>
        <w:pStyle w:val="17"/>
        <w:ind w:firstLine="560"/>
        <w:rPr>
          <w:rFonts w:ascii="宋体" w:hAnsi="宋体"/>
          <w:sz w:val="28"/>
          <w:szCs w:val="28"/>
        </w:rPr>
      </w:pPr>
    </w:p>
    <w:p w14:paraId="28C0FA0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11.</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应具有本合同第六条所规定的含义。</w:t>
      </w:r>
    </w:p>
    <w:p w14:paraId="573ED650">
      <w:pPr>
        <w:pStyle w:val="17"/>
        <w:ind w:firstLine="560"/>
        <w:rPr>
          <w:rFonts w:ascii="宋体" w:hAnsi="宋体"/>
          <w:sz w:val="28"/>
          <w:szCs w:val="28"/>
        </w:rPr>
      </w:pPr>
    </w:p>
    <w:p w14:paraId="7A37CA7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12.</w:t>
      </w:r>
      <w:r>
        <w:rPr>
          <w:rFonts w:ascii="宋体" w:hAnsi="宋体"/>
          <w:sz w:val="28"/>
          <w:szCs w:val="28"/>
        </w:rPr>
        <w:t>“</w:t>
      </w:r>
      <w:r>
        <w:rPr>
          <w:rFonts w:hint="eastAsia" w:ascii="宋体" w:hAnsi="宋体"/>
          <w:b/>
          <w:sz w:val="28"/>
          <w:szCs w:val="28"/>
        </w:rPr>
        <w:t>主要应诉方</w:t>
      </w:r>
      <w:r>
        <w:rPr>
          <w:rFonts w:ascii="宋体" w:hAnsi="宋体"/>
          <w:sz w:val="28"/>
          <w:szCs w:val="28"/>
        </w:rPr>
        <w:t>”</w:t>
      </w:r>
      <w:r>
        <w:rPr>
          <w:rFonts w:hint="eastAsia" w:ascii="宋体" w:hAnsi="宋体"/>
          <w:sz w:val="28"/>
          <w:szCs w:val="28"/>
        </w:rPr>
        <w:t>“</w:t>
      </w:r>
      <w:r>
        <w:rPr>
          <w:rFonts w:hint="eastAsia" w:ascii="宋体" w:hAnsi="宋体"/>
          <w:b/>
          <w:sz w:val="28"/>
          <w:szCs w:val="28"/>
        </w:rPr>
        <w:t>协助应诉方</w:t>
      </w:r>
      <w:r>
        <w:rPr>
          <w:rFonts w:hint="eastAsia" w:ascii="宋体" w:hAnsi="宋体"/>
          <w:sz w:val="28"/>
          <w:szCs w:val="28"/>
        </w:rPr>
        <w:t>”应具有本合同第十条所规定的含义。</w:t>
      </w:r>
    </w:p>
    <w:p w14:paraId="4B882772">
      <w:pPr>
        <w:pStyle w:val="17"/>
        <w:ind w:firstLine="560"/>
        <w:rPr>
          <w:rFonts w:ascii="宋体" w:hAnsi="宋体"/>
          <w:sz w:val="28"/>
          <w:szCs w:val="28"/>
        </w:rPr>
      </w:pPr>
    </w:p>
    <w:p w14:paraId="4F99BC2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13.“</w:t>
      </w:r>
      <w:r>
        <w:rPr>
          <w:rFonts w:hint="eastAsia" w:ascii="宋体" w:hAnsi="宋体"/>
          <w:b/>
          <w:sz w:val="28"/>
          <w:szCs w:val="28"/>
        </w:rPr>
        <w:t>不可抗力事件</w:t>
      </w:r>
      <w:r>
        <w:rPr>
          <w:rFonts w:hint="eastAsia" w:ascii="宋体" w:hAnsi="宋体"/>
          <w:sz w:val="28"/>
          <w:szCs w:val="28"/>
        </w:rPr>
        <w:t>”应具有本合同第十二条所规定的含义。</w:t>
      </w:r>
    </w:p>
    <w:p w14:paraId="6B7BF5D7">
      <w:pPr>
        <w:pStyle w:val="17"/>
        <w:ind w:firstLine="560"/>
        <w:rPr>
          <w:rFonts w:ascii="宋体" w:hAnsi="宋体"/>
          <w:sz w:val="28"/>
          <w:szCs w:val="28"/>
        </w:rPr>
      </w:pPr>
    </w:p>
    <w:p w14:paraId="2055B479">
      <w:pPr>
        <w:widowControl/>
        <w:adjustRightInd w:val="0"/>
        <w:snapToGrid w:val="0"/>
        <w:spacing w:line="276" w:lineRule="auto"/>
        <w:rPr>
          <w:rFonts w:ascii="宋体" w:hAnsi="宋体"/>
          <w:sz w:val="28"/>
          <w:szCs w:val="28"/>
        </w:rPr>
      </w:pPr>
      <w:r>
        <w:rPr>
          <w:rFonts w:hint="eastAsia" w:ascii="宋体" w:hAnsi="宋体"/>
          <w:sz w:val="28"/>
          <w:szCs w:val="28"/>
        </w:rPr>
        <w:t>本合同项下的其他术语及其含义以附件一为准。</w:t>
      </w:r>
    </w:p>
    <w:p w14:paraId="2BC4C6A5">
      <w:pPr>
        <w:widowControl/>
        <w:adjustRightInd w:val="0"/>
        <w:snapToGrid w:val="0"/>
        <w:spacing w:line="276" w:lineRule="auto"/>
        <w:rPr>
          <w:rFonts w:ascii="宋体" w:hAnsi="宋体"/>
          <w:sz w:val="28"/>
          <w:szCs w:val="28"/>
        </w:rPr>
      </w:pPr>
    </w:p>
    <w:p w14:paraId="0C203EF7">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第二条  </w:t>
      </w:r>
      <w:r>
        <w:rPr>
          <w:rFonts w:ascii="宋体" w:hAnsi="宋体"/>
          <w:b/>
          <w:sz w:val="28"/>
          <w:szCs w:val="28"/>
        </w:rPr>
        <w:t>许可</w:t>
      </w:r>
      <w:r>
        <w:rPr>
          <w:rFonts w:hint="eastAsia" w:ascii="宋体" w:hAnsi="宋体"/>
          <w:b/>
          <w:sz w:val="28"/>
          <w:szCs w:val="28"/>
        </w:rPr>
        <w:t>的授予</w:t>
      </w:r>
    </w:p>
    <w:p w14:paraId="4066E9A0">
      <w:pPr>
        <w:widowControl/>
        <w:adjustRightInd w:val="0"/>
        <w:snapToGrid w:val="0"/>
        <w:spacing w:line="276" w:lineRule="auto"/>
        <w:rPr>
          <w:rFonts w:ascii="宋体" w:hAnsi="宋体"/>
          <w:sz w:val="28"/>
          <w:szCs w:val="28"/>
        </w:rPr>
      </w:pPr>
    </w:p>
    <w:p w14:paraId="4ECB402D">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1.许可专利</w:t>
      </w:r>
    </w:p>
    <w:p w14:paraId="44F6568C">
      <w:pPr>
        <w:widowControl/>
        <w:adjustRightInd w:val="0"/>
        <w:snapToGrid w:val="0"/>
        <w:spacing w:line="276" w:lineRule="auto"/>
        <w:ind w:left="567"/>
        <w:rPr>
          <w:rFonts w:ascii="宋体" w:hAnsi="宋体"/>
          <w:sz w:val="28"/>
          <w:szCs w:val="28"/>
        </w:rPr>
      </w:pPr>
    </w:p>
    <w:p w14:paraId="07E2C262">
      <w:pPr>
        <w:widowControl/>
        <w:adjustRightInd w:val="0"/>
        <w:snapToGrid w:val="0"/>
        <w:spacing w:line="276" w:lineRule="auto"/>
        <w:ind w:left="567"/>
        <w:rPr>
          <w:rFonts w:ascii="宋体" w:hAnsi="宋体"/>
          <w:sz w:val="28"/>
          <w:szCs w:val="28"/>
        </w:rPr>
      </w:pPr>
      <w:r>
        <w:rPr>
          <w:rFonts w:hint="eastAsia" w:ascii="宋体" w:hAnsi="宋体"/>
          <w:sz w:val="28"/>
          <w:szCs w:val="28"/>
        </w:rPr>
        <w:t>本合同项下的许可专利（“</w:t>
      </w:r>
      <w:r>
        <w:rPr>
          <w:rFonts w:hint="eastAsia" w:ascii="宋体" w:hAnsi="宋体"/>
          <w:b/>
          <w:sz w:val="28"/>
          <w:szCs w:val="28"/>
        </w:rPr>
        <w:t>许可专利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71819F2E">
      <w:pPr>
        <w:widowControl/>
        <w:adjustRightInd w:val="0"/>
        <w:snapToGrid w:val="0"/>
        <w:spacing w:line="276" w:lineRule="auto"/>
        <w:ind w:left="567"/>
        <w:rPr>
          <w:rFonts w:ascii="宋体" w:hAnsi="宋体"/>
          <w:sz w:val="28"/>
          <w:szCs w:val="28"/>
        </w:rPr>
      </w:pPr>
    </w:p>
    <w:p w14:paraId="654DAC2F">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的许可专利是指名称为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hint="eastAsia" w:ascii="宋体" w:hAnsi="宋体"/>
          <w:sz w:val="28"/>
          <w:szCs w:val="28"/>
        </w:rPr>
        <w:t>的发明创造</w:t>
      </w:r>
      <w:r>
        <w:rPr>
          <w:rFonts w:hint="eastAsia"/>
          <w:sz w:val="28"/>
        </w:rPr>
        <w:t>，其专利申请号为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sz w:val="28"/>
        </w:rPr>
        <w:t>，专利类型为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（外观设计专利/实用新型专利/发明专利）。许可专利的申请日为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年</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月</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w:t>
      </w:r>
      <w:r>
        <w:rPr>
          <w:rFonts w:hint="eastAsia"/>
          <w:sz w:val="28"/>
        </w:rPr>
        <w:t>截止至本合同签署日，许可专利的状态为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14:paraId="21D97A9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(2)本合同项下的许可专利是指本合同附件二所列明的发明创造，本合同项下的许可专利合计</w:t>
      </w:r>
      <w:r>
        <w:rPr>
          <w:rFonts w:ascii="宋体" w:hAnsi="宋体"/>
          <w:sz w:val="28"/>
          <w:szCs w:val="28"/>
          <w:u w:val="single"/>
        </w:rPr>
        <w:tab/>
      </w:r>
      <w:r>
        <w:rPr>
          <w:rFonts w:ascii="宋体" w:hAnsi="宋体"/>
          <w:sz w:val="28"/>
          <w:szCs w:val="28"/>
          <w:u w:val="single"/>
        </w:rPr>
        <w:tab/>
      </w:r>
      <w:r>
        <w:rPr>
          <w:rFonts w:hint="eastAsia" w:ascii="宋体" w:hAnsi="宋体"/>
          <w:sz w:val="28"/>
          <w:szCs w:val="28"/>
        </w:rPr>
        <w:t>件。</w:t>
      </w:r>
    </w:p>
    <w:p w14:paraId="0D4B9DC0">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14:paraId="5609F2D5">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30F763CB">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588D7D72">
      <w:pPr>
        <w:widowControl/>
        <w:adjustRightInd w:val="0"/>
        <w:snapToGrid w:val="0"/>
        <w:spacing w:line="276" w:lineRule="auto"/>
        <w:ind w:left="567"/>
        <w:rPr>
          <w:rFonts w:ascii="宋体" w:hAnsi="宋体"/>
          <w:sz w:val="28"/>
          <w:szCs w:val="28"/>
        </w:rPr>
      </w:pPr>
    </w:p>
    <w:p w14:paraId="06ACE3CE">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2.许可的方式与范围</w:t>
      </w:r>
    </w:p>
    <w:p w14:paraId="4D2E2621">
      <w:pPr>
        <w:widowControl/>
        <w:adjustRightInd w:val="0"/>
        <w:snapToGrid w:val="0"/>
        <w:spacing w:line="276" w:lineRule="auto"/>
        <w:ind w:left="567"/>
        <w:rPr>
          <w:rFonts w:ascii="宋体" w:hAnsi="宋体"/>
          <w:sz w:val="28"/>
          <w:szCs w:val="28"/>
        </w:rPr>
      </w:pPr>
    </w:p>
    <w:p w14:paraId="351A2202">
      <w:pPr>
        <w:widowControl/>
        <w:adjustRightInd w:val="0"/>
        <w:snapToGrid w:val="0"/>
        <w:spacing w:line="276" w:lineRule="auto"/>
        <w:ind w:left="567"/>
        <w:rPr>
          <w:sz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sz w:val="28"/>
        </w:rPr>
        <w:t>许可专利</w:t>
      </w:r>
      <w:r>
        <w:rPr>
          <w:rFonts w:hint="eastAsia" w:ascii="宋体" w:hAnsi="宋体"/>
          <w:sz w:val="28"/>
          <w:szCs w:val="28"/>
        </w:rPr>
        <w:t>，</w:t>
      </w:r>
      <w:r>
        <w:rPr>
          <w:rFonts w:ascii="宋体" w:hAnsi="宋体"/>
          <w:sz w:val="28"/>
          <w:szCs w:val="28"/>
        </w:rPr>
        <w:t>许可方授予被许可方一项</w:t>
      </w:r>
      <w:r>
        <w:rPr>
          <w:rFonts w:hint="eastAsia" w:ascii="宋体" w:hAnsi="宋体"/>
          <w:sz w:val="28"/>
          <w:szCs w:val="28"/>
        </w:rPr>
        <w:t>以</w:t>
      </w:r>
      <w:r>
        <w:rPr>
          <w:rFonts w:hint="eastAsia"/>
          <w:sz w:val="30"/>
          <w:u w:val="single"/>
        </w:rPr>
        <w:t xml:space="preserve">      </w:t>
      </w:r>
      <w:r>
        <w:rPr>
          <w:sz w:val="30"/>
          <w:u w:val="single"/>
        </w:rPr>
        <w:t xml:space="preserve">          </w:t>
      </w:r>
      <w:r>
        <w:rPr>
          <w:rFonts w:hint="eastAsia"/>
          <w:sz w:val="30"/>
        </w:rPr>
        <w:t>（</w:t>
      </w:r>
      <w:r>
        <w:rPr>
          <w:rFonts w:hint="eastAsia"/>
          <w:sz w:val="28"/>
        </w:rPr>
        <w:t>普通实施许可/排他实施许可/独占实施许可）方式作出的专利实施许可，该许可受限于以下条件：</w:t>
      </w:r>
    </w:p>
    <w:p w14:paraId="7B3C22A7">
      <w:pPr>
        <w:widowControl/>
        <w:adjustRightInd w:val="0"/>
        <w:snapToGrid w:val="0"/>
        <w:spacing w:line="276" w:lineRule="auto"/>
        <w:ind w:left="567"/>
        <w:rPr>
          <w:rFonts w:ascii="宋体" w:hAnsi="宋体"/>
          <w:sz w:val="28"/>
          <w:szCs w:val="28"/>
        </w:rPr>
      </w:pPr>
    </w:p>
    <w:p w14:paraId="6E65A81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w:t>
      </w:r>
      <w:r>
        <w:rPr>
          <w:rFonts w:hint="eastAsia" w:ascii="宋体" w:hAnsi="宋体"/>
          <w:sz w:val="28"/>
          <w:szCs w:val="28"/>
        </w:rPr>
        <w:t>应在本合同约定的许可期限（“</w:t>
      </w:r>
      <w:r>
        <w:rPr>
          <w:rFonts w:hint="eastAsia" w:ascii="宋体" w:hAnsi="宋体"/>
          <w:b/>
          <w:sz w:val="28"/>
          <w:szCs w:val="28"/>
        </w:rPr>
        <w:t>许可期限</w:t>
      </w:r>
      <w:r>
        <w:rPr>
          <w:rFonts w:hint="eastAsia" w:ascii="宋体" w:hAnsi="宋体"/>
          <w:sz w:val="28"/>
          <w:szCs w:val="28"/>
        </w:rPr>
        <w:t>”）范围内实施许可专利，本合同约定的许可期限为</w:t>
      </w:r>
      <w:r>
        <w:rPr>
          <w:rFonts w:hint="eastAsia"/>
          <w:sz w:val="30"/>
          <w:u w:val="single"/>
        </w:rPr>
        <w:t xml:space="preserve">                    </w:t>
      </w:r>
    </w:p>
    <w:p w14:paraId="5A602561">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ascii="宋体" w:hAnsi="宋体"/>
          <w:sz w:val="28"/>
          <w:szCs w:val="28"/>
        </w:rPr>
        <w:t>；</w:t>
      </w:r>
    </w:p>
    <w:p w14:paraId="108443E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被许可方应</w:t>
      </w:r>
      <w:r>
        <w:rPr>
          <w:rFonts w:hint="eastAsia" w:ascii="宋体" w:hAnsi="宋体"/>
          <w:sz w:val="28"/>
          <w:szCs w:val="28"/>
        </w:rPr>
        <w:t>在本合同约定的许可区域（“</w:t>
      </w:r>
      <w:r>
        <w:rPr>
          <w:rFonts w:hint="eastAsia" w:ascii="宋体" w:hAnsi="宋体"/>
          <w:b/>
          <w:sz w:val="28"/>
          <w:szCs w:val="28"/>
        </w:rPr>
        <w:t>许可区域</w:t>
      </w:r>
      <w:r>
        <w:rPr>
          <w:rFonts w:hint="eastAsia" w:ascii="宋体" w:hAnsi="宋体"/>
          <w:sz w:val="28"/>
          <w:szCs w:val="28"/>
        </w:rPr>
        <w:t>”）范围内实施许可专利，本合同约定的许可区域为</w:t>
      </w:r>
      <w:r>
        <w:rPr>
          <w:rFonts w:hint="eastAsia"/>
          <w:sz w:val="30"/>
          <w:u w:val="single"/>
        </w:rPr>
        <w:t xml:space="preserve">               </w:t>
      </w:r>
      <w:r>
        <w:rPr>
          <w:sz w:val="30"/>
          <w:u w:val="single"/>
        </w:rPr>
        <w:t xml:space="preserve">    </w:t>
      </w:r>
      <w:r>
        <w:rPr>
          <w:rFonts w:hint="eastAsia"/>
          <w:sz w:val="30"/>
          <w:u w:val="single"/>
        </w:rPr>
        <w:t xml:space="preserve"> </w:t>
      </w:r>
    </w:p>
    <w:p w14:paraId="7A4E2CF4">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14:paraId="0FBB2130">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14:paraId="45C5B54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被许可方</w:t>
      </w:r>
      <w:r>
        <w:rPr>
          <w:rFonts w:hint="eastAsia" w:ascii="宋体" w:hAnsi="宋体"/>
          <w:sz w:val="28"/>
          <w:szCs w:val="28"/>
        </w:rPr>
        <w:t>应当遵守本合同第二条第4款关于分许可的约定；</w:t>
      </w:r>
    </w:p>
    <w:p w14:paraId="1059614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(4)其他根据本合同约定被许可方应当遵守的条件。</w:t>
      </w:r>
    </w:p>
    <w:p w14:paraId="2578C4BE">
      <w:pPr>
        <w:widowControl/>
        <w:adjustRightInd w:val="0"/>
        <w:snapToGrid w:val="0"/>
        <w:spacing w:line="276" w:lineRule="auto"/>
        <w:ind w:left="1276"/>
        <w:rPr>
          <w:rFonts w:ascii="宋体" w:hAnsi="宋体"/>
          <w:sz w:val="28"/>
          <w:szCs w:val="28"/>
        </w:rPr>
      </w:pPr>
    </w:p>
    <w:p w14:paraId="3184A6DE">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3.许可实施行为</w:t>
      </w:r>
    </w:p>
    <w:p w14:paraId="6C962770">
      <w:pPr>
        <w:widowControl/>
        <w:adjustRightInd w:val="0"/>
        <w:snapToGrid w:val="0"/>
        <w:spacing w:line="276" w:lineRule="auto"/>
        <w:ind w:left="567"/>
        <w:rPr>
          <w:rFonts w:ascii="宋体" w:hAnsi="宋体"/>
          <w:sz w:val="28"/>
          <w:szCs w:val="28"/>
        </w:rPr>
      </w:pPr>
    </w:p>
    <w:p w14:paraId="7D8CAEBD">
      <w:pPr>
        <w:widowControl/>
        <w:adjustRightInd w:val="0"/>
        <w:snapToGrid w:val="0"/>
        <w:spacing w:line="276" w:lineRule="auto"/>
        <w:ind w:left="567"/>
        <w:rPr>
          <w:rFonts w:ascii="宋体" w:hAnsi="宋体"/>
          <w:sz w:val="28"/>
          <w:szCs w:val="28"/>
        </w:rPr>
      </w:pPr>
      <w:r>
        <w:rPr>
          <w:rFonts w:hint="eastAsia" w:ascii="宋体" w:hAnsi="宋体"/>
          <w:sz w:val="28"/>
          <w:szCs w:val="28"/>
        </w:rPr>
        <w:t>针对许可专利，根据本合同取得的专利实施许可，被许可方可以开展以下第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项所示的实施行为（“</w:t>
      </w:r>
      <w:r>
        <w:rPr>
          <w:rFonts w:hint="eastAsia" w:ascii="宋体" w:hAnsi="宋体"/>
          <w:b/>
          <w:sz w:val="28"/>
          <w:szCs w:val="28"/>
        </w:rPr>
        <w:t>许可实施行为</w:t>
      </w:r>
      <w:r>
        <w:rPr>
          <w:rFonts w:hint="eastAsia" w:ascii="宋体" w:hAnsi="宋体"/>
          <w:sz w:val="28"/>
          <w:szCs w:val="28"/>
        </w:rPr>
        <w:t>”）（可多选）：</w:t>
      </w:r>
    </w:p>
    <w:p w14:paraId="19344A12">
      <w:pPr>
        <w:widowControl/>
        <w:adjustRightInd w:val="0"/>
        <w:snapToGrid w:val="0"/>
        <w:spacing w:line="276" w:lineRule="auto"/>
        <w:ind w:left="567"/>
        <w:rPr>
          <w:rFonts w:ascii="宋体" w:hAnsi="宋体"/>
          <w:sz w:val="28"/>
          <w:szCs w:val="28"/>
        </w:rPr>
      </w:pPr>
    </w:p>
    <w:p w14:paraId="0D850715">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为生产经营目的制造、使用、许诺销售、销售、进口落入许可专利保护范围的产品。</w:t>
      </w:r>
    </w:p>
    <w:p w14:paraId="14EA5263">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为生产经营目的使用许可专利方法。</w:t>
      </w:r>
    </w:p>
    <w:p w14:paraId="29928F85">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为生产经营目的使用、许诺销售、销售、进口依照许可专利方法直接获得的产品。</w:t>
      </w:r>
    </w:p>
    <w:p w14:paraId="0536BAD4">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为生产经营目的制造、许诺销售、销售、进口落入许可专利（当许可专利为外观设计专利时）保护范围的产品。</w:t>
      </w:r>
    </w:p>
    <w:p w14:paraId="77E2FF2B">
      <w:pPr>
        <w:widowControl/>
        <w:numPr>
          <w:ilvl w:val="2"/>
          <w:numId w:val="2"/>
        </w:numPr>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75DCB1E8">
      <w:pPr>
        <w:widowControl/>
        <w:adjustRightInd w:val="0"/>
        <w:snapToGrid w:val="0"/>
        <w:spacing w:line="276" w:lineRule="auto"/>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7947FCFB">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6C49A72E">
      <w:pPr>
        <w:widowControl/>
        <w:adjustRightInd w:val="0"/>
        <w:snapToGrid w:val="0"/>
        <w:spacing w:line="276" w:lineRule="auto"/>
        <w:ind w:left="567"/>
        <w:rPr>
          <w:rFonts w:ascii="宋体" w:hAnsi="宋体"/>
          <w:sz w:val="28"/>
          <w:szCs w:val="28"/>
        </w:rPr>
      </w:pPr>
    </w:p>
    <w:p w14:paraId="083158A1">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4.</w:t>
      </w:r>
      <w:r>
        <w:rPr>
          <w:rFonts w:ascii="宋体" w:hAnsi="宋体"/>
          <w:sz w:val="28"/>
          <w:szCs w:val="28"/>
        </w:rPr>
        <w:t>分许可</w:t>
      </w:r>
    </w:p>
    <w:p w14:paraId="00C5575E">
      <w:pPr>
        <w:widowControl/>
        <w:adjustRightInd w:val="0"/>
        <w:snapToGrid w:val="0"/>
        <w:spacing w:line="276" w:lineRule="auto"/>
        <w:ind w:left="567"/>
        <w:rPr>
          <w:rFonts w:ascii="宋体" w:hAnsi="宋体"/>
          <w:sz w:val="28"/>
          <w:szCs w:val="28"/>
        </w:rPr>
      </w:pPr>
    </w:p>
    <w:p w14:paraId="3C595B0F">
      <w:pPr>
        <w:widowControl/>
        <w:adjustRightInd w:val="0"/>
        <w:snapToGrid w:val="0"/>
        <w:spacing w:line="276" w:lineRule="auto"/>
        <w:ind w:left="567"/>
        <w:rPr>
          <w:rFonts w:ascii="宋体" w:hAnsi="宋体"/>
          <w:sz w:val="28"/>
          <w:szCs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ascii="宋体" w:hAnsi="宋体"/>
          <w:sz w:val="28"/>
          <w:szCs w:val="28"/>
        </w:rPr>
        <w:t>许可专利的分许可事宜，双方同意根据以下第</w:t>
      </w:r>
      <w:r>
        <w:rPr>
          <w:rFonts w:ascii="宋体" w:hAnsi="宋体"/>
          <w:sz w:val="28"/>
          <w:szCs w:val="28"/>
          <w:u w:val="single"/>
        </w:rPr>
        <w:tab/>
      </w:r>
      <w:r>
        <w:rPr>
          <w:rFonts w:ascii="宋体" w:hAnsi="宋体"/>
          <w:sz w:val="28"/>
          <w:szCs w:val="28"/>
          <w:u w:val="single"/>
        </w:rPr>
        <w:tab/>
      </w:r>
      <w:r>
        <w:rPr>
          <w:rFonts w:ascii="宋体" w:hAnsi="宋体"/>
          <w:sz w:val="28"/>
          <w:szCs w:val="28"/>
        </w:rPr>
        <w:t>项</w:t>
      </w:r>
      <w:r>
        <w:rPr>
          <w:rFonts w:hint="eastAsia" w:ascii="宋体" w:hAnsi="宋体"/>
          <w:sz w:val="28"/>
          <w:szCs w:val="28"/>
        </w:rPr>
        <w:t>所示安排处理（单选）：</w:t>
      </w:r>
    </w:p>
    <w:p w14:paraId="3A31969C">
      <w:pPr>
        <w:widowControl/>
        <w:adjustRightInd w:val="0"/>
        <w:snapToGrid w:val="0"/>
        <w:spacing w:line="276" w:lineRule="auto"/>
        <w:ind w:left="567"/>
        <w:rPr>
          <w:rFonts w:ascii="宋体" w:hAnsi="宋体"/>
          <w:sz w:val="28"/>
          <w:szCs w:val="28"/>
        </w:rPr>
      </w:pPr>
    </w:p>
    <w:p w14:paraId="58B7C3C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未经许可方事先书面同意，被许可方不得</w:t>
      </w:r>
      <w:r>
        <w:rPr>
          <w:rFonts w:hint="eastAsia" w:ascii="宋体" w:hAnsi="宋体"/>
          <w:sz w:val="28"/>
          <w:szCs w:val="28"/>
        </w:rPr>
        <w:t>向任何第三方授予关于许可专利的</w:t>
      </w:r>
      <w:r>
        <w:rPr>
          <w:rFonts w:ascii="宋体" w:hAnsi="宋体"/>
          <w:sz w:val="28"/>
          <w:szCs w:val="28"/>
        </w:rPr>
        <w:t>任何分许可。</w:t>
      </w:r>
    </w:p>
    <w:p w14:paraId="2D715E8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w:t>
      </w:r>
      <w:r>
        <w:rPr>
          <w:rFonts w:hint="eastAsia" w:ascii="宋体" w:hAnsi="宋体"/>
          <w:sz w:val="28"/>
          <w:szCs w:val="28"/>
        </w:rPr>
        <w:t>无需事先取得许可方书面同意，即有权</w:t>
      </w:r>
      <w:r>
        <w:rPr>
          <w:rFonts w:ascii="宋体" w:hAnsi="宋体"/>
          <w:sz w:val="28"/>
          <w:szCs w:val="28"/>
        </w:rPr>
        <w:t>向</w:t>
      </w:r>
      <w:r>
        <w:rPr>
          <w:rFonts w:hint="eastAsia" w:ascii="宋体" w:hAnsi="宋体"/>
          <w:sz w:val="28"/>
          <w:szCs w:val="28"/>
        </w:rPr>
        <w:t>被分许可方</w:t>
      </w:r>
      <w:r>
        <w:rPr>
          <w:rFonts w:ascii="宋体" w:hAnsi="宋体"/>
          <w:sz w:val="28"/>
          <w:szCs w:val="28"/>
        </w:rPr>
        <w:t>授予分许可</w:t>
      </w:r>
      <w:r>
        <w:rPr>
          <w:rFonts w:hint="eastAsia" w:ascii="宋体" w:hAnsi="宋体"/>
          <w:sz w:val="28"/>
          <w:szCs w:val="28"/>
        </w:rPr>
        <w:t xml:space="preserve">，该分许可不得超出本合同第二条第2项约定的方式和范围。 </w:t>
      </w:r>
    </w:p>
    <w:p w14:paraId="0512323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6B85244">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C75BF87">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DB502F4">
      <w:pPr>
        <w:widowControl/>
        <w:adjustRightInd w:val="0"/>
        <w:snapToGrid w:val="0"/>
        <w:spacing w:line="276" w:lineRule="auto"/>
        <w:rPr>
          <w:rFonts w:ascii="宋体" w:hAnsi="宋体"/>
          <w:sz w:val="28"/>
          <w:szCs w:val="28"/>
        </w:rPr>
      </w:pPr>
    </w:p>
    <w:p w14:paraId="17EA0043">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5.专利实施许可合同备案</w:t>
      </w:r>
    </w:p>
    <w:p w14:paraId="5FDEB79C">
      <w:pPr>
        <w:widowControl/>
        <w:adjustRightInd w:val="0"/>
        <w:snapToGrid w:val="0"/>
        <w:spacing w:line="276" w:lineRule="auto"/>
        <w:ind w:left="567"/>
        <w:rPr>
          <w:rFonts w:ascii="宋体" w:hAnsi="宋体"/>
          <w:sz w:val="28"/>
          <w:szCs w:val="28"/>
        </w:rPr>
      </w:pPr>
    </w:p>
    <w:p w14:paraId="65F640D3">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日前，向国家知识产权局递交关于本合同的备案申请，并尽最大商业合理努力尽快完成专利实施许可合同备案。</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许可方/被许可方）应当尽合理商业努力积极配合完成上述专利实施许可合同备案。</w:t>
      </w:r>
    </w:p>
    <w:p w14:paraId="614263E0">
      <w:pPr>
        <w:widowControl/>
        <w:adjustRightInd w:val="0"/>
        <w:snapToGrid w:val="0"/>
        <w:spacing w:line="276" w:lineRule="auto"/>
        <w:ind w:left="567"/>
        <w:rPr>
          <w:rFonts w:ascii="宋体" w:hAnsi="宋体"/>
          <w:sz w:val="28"/>
          <w:szCs w:val="28"/>
        </w:rPr>
      </w:pPr>
    </w:p>
    <w:p w14:paraId="2C138FF5">
      <w:pPr>
        <w:widowControl/>
        <w:adjustRightInd w:val="0"/>
        <w:snapToGrid w:val="0"/>
        <w:spacing w:line="276" w:lineRule="auto"/>
        <w:ind w:left="567"/>
        <w:rPr>
          <w:rFonts w:ascii="宋体" w:hAnsi="宋体"/>
          <w:sz w:val="28"/>
          <w:szCs w:val="28"/>
        </w:rPr>
      </w:pPr>
      <w:r>
        <w:rPr>
          <w:rFonts w:hint="eastAsia" w:ascii="宋体" w:hAnsi="宋体"/>
          <w:sz w:val="28"/>
          <w:szCs w:val="28"/>
        </w:rPr>
        <w:t>办理专利实施许可合同备案所需费用（包括中介机构的服务费）应由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（许可方单独/被许可方单独/双方共同/……）</w:t>
      </w:r>
      <w:r>
        <w:rPr>
          <w:rFonts w:ascii="宋体" w:hAnsi="宋体"/>
          <w:sz w:val="28"/>
          <w:szCs w:val="28"/>
        </w:rPr>
        <w:t>承担</w:t>
      </w:r>
      <w:r>
        <w:rPr>
          <w:rFonts w:hint="eastAsia" w:ascii="宋体" w:hAnsi="宋体"/>
          <w:sz w:val="28"/>
          <w:szCs w:val="28"/>
        </w:rPr>
        <w:t>。</w:t>
      </w:r>
    </w:p>
    <w:p w14:paraId="1B3C02B5">
      <w:pPr>
        <w:widowControl/>
        <w:adjustRightInd w:val="0"/>
        <w:snapToGrid w:val="0"/>
        <w:spacing w:line="276" w:lineRule="auto"/>
        <w:ind w:left="567"/>
        <w:rPr>
          <w:rFonts w:ascii="宋体" w:hAnsi="宋体"/>
          <w:sz w:val="28"/>
          <w:szCs w:val="28"/>
        </w:rPr>
      </w:pPr>
    </w:p>
    <w:p w14:paraId="6BA28C1C">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第三条  </w:t>
      </w:r>
      <w:r>
        <w:rPr>
          <w:rFonts w:ascii="宋体" w:hAnsi="宋体"/>
          <w:b/>
          <w:sz w:val="28"/>
          <w:szCs w:val="28"/>
        </w:rPr>
        <w:t>许可费及支付方式</w:t>
      </w:r>
    </w:p>
    <w:p w14:paraId="6C4B3CAE">
      <w:pPr>
        <w:widowControl/>
        <w:adjustRightInd w:val="0"/>
        <w:snapToGrid w:val="0"/>
        <w:spacing w:line="276" w:lineRule="auto"/>
        <w:ind w:left="567"/>
        <w:rPr>
          <w:rFonts w:ascii="宋体" w:hAnsi="宋体"/>
          <w:sz w:val="28"/>
          <w:szCs w:val="28"/>
        </w:rPr>
      </w:pPr>
    </w:p>
    <w:p w14:paraId="222290D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1.许可费及支付方式</w:t>
      </w:r>
    </w:p>
    <w:p w14:paraId="65B5090F">
      <w:pPr>
        <w:widowControl/>
        <w:adjustRightInd w:val="0"/>
        <w:snapToGrid w:val="0"/>
        <w:spacing w:line="276" w:lineRule="auto"/>
        <w:ind w:left="567"/>
        <w:rPr>
          <w:rFonts w:ascii="宋体" w:hAnsi="宋体"/>
          <w:sz w:val="28"/>
          <w:szCs w:val="28"/>
        </w:rPr>
      </w:pPr>
    </w:p>
    <w:p w14:paraId="40186D5A">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作为取得本合同第二条所述许可的价款，被许可方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付款方式支付许可费（“</w:t>
      </w:r>
      <w:r>
        <w:rPr>
          <w:rFonts w:ascii="宋体" w:hAnsi="宋体"/>
          <w:b/>
          <w:sz w:val="28"/>
          <w:szCs w:val="28"/>
        </w:rPr>
        <w:t>许可费</w:t>
      </w:r>
      <w:r>
        <w:rPr>
          <w:rFonts w:ascii="宋体" w:hAnsi="宋体"/>
          <w:sz w:val="28"/>
          <w:szCs w:val="28"/>
        </w:rPr>
        <w:t>”）</w:t>
      </w:r>
      <w:r>
        <w:rPr>
          <w:rFonts w:hint="eastAsia" w:ascii="宋体" w:hAnsi="宋体"/>
          <w:sz w:val="28"/>
          <w:szCs w:val="28"/>
        </w:rPr>
        <w:t>（可多选）：</w:t>
      </w:r>
    </w:p>
    <w:p w14:paraId="4E6A4298">
      <w:pPr>
        <w:widowControl/>
        <w:adjustRightInd w:val="0"/>
        <w:snapToGrid w:val="0"/>
        <w:spacing w:line="276" w:lineRule="auto"/>
        <w:ind w:left="567"/>
        <w:rPr>
          <w:rFonts w:ascii="宋体" w:hAnsi="宋体"/>
          <w:sz w:val="28"/>
          <w:szCs w:val="28"/>
        </w:rPr>
      </w:pPr>
    </w:p>
    <w:p w14:paraId="38CEE345">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14:paraId="69E94727">
      <w:pPr>
        <w:widowControl/>
        <w:adjustRightInd w:val="0"/>
        <w:snapToGrid w:val="0"/>
        <w:spacing w:line="276" w:lineRule="auto"/>
        <w:ind w:left="1276"/>
        <w:rPr>
          <w:rFonts w:ascii="宋体" w:hAnsi="宋体"/>
          <w:sz w:val="28"/>
          <w:szCs w:val="28"/>
        </w:rPr>
      </w:pPr>
    </w:p>
    <w:p w14:paraId="41184202">
      <w:pPr>
        <w:widowControl/>
        <w:adjustRightInd w:val="0"/>
        <w:snapToGrid w:val="0"/>
        <w:spacing w:line="276" w:lineRule="auto"/>
        <w:ind w:left="1276"/>
        <w:rPr>
          <w:rFonts w:ascii="宋体" w:hAnsi="宋体"/>
          <w:sz w:val="28"/>
          <w:szCs w:val="28"/>
        </w:rPr>
      </w:pPr>
      <w:r>
        <w:rPr>
          <w:rFonts w:ascii="宋体" w:hAnsi="宋体"/>
          <w:sz w:val="28"/>
          <w:szCs w:val="28"/>
        </w:rPr>
        <w:t>被许可方应当支付给许可方的固定费用共计</w:t>
      </w:r>
      <w:r>
        <w:rPr>
          <w:rFonts w:hint="eastAsia" w:ascii="宋体" w:hAnsi="宋体"/>
          <w:sz w:val="28"/>
          <w:szCs w:val="28"/>
        </w:rPr>
        <w:t>（人民币/美元/……）</w:t>
      </w:r>
    </w:p>
    <w:p w14:paraId="0F1BEFC6">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，被许可方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14:paraId="4CD09E79">
      <w:pPr>
        <w:widowControl/>
        <w:adjustRightInd w:val="0"/>
        <w:snapToGrid w:val="0"/>
        <w:spacing w:line="276" w:lineRule="auto"/>
        <w:ind w:left="1276"/>
        <w:rPr>
          <w:rFonts w:ascii="宋体" w:hAnsi="宋体"/>
          <w:sz w:val="28"/>
          <w:szCs w:val="28"/>
        </w:rPr>
      </w:pPr>
    </w:p>
    <w:p w14:paraId="315ADCE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w:t>
      </w:r>
      <w:r>
        <w:rPr>
          <w:rFonts w:hint="eastAsia" w:ascii="宋体" w:hAnsi="宋体"/>
          <w:sz w:val="28"/>
          <w:szCs w:val="28"/>
        </w:rPr>
        <w:t>全部</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5F7CB3BA">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14:paraId="3877D034">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1D3308AC">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44C1CB82">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48B12AC3">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3DD06539">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065689A4">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，被许可方应向许可方支付</w:t>
      </w:r>
      <w:r>
        <w:rPr>
          <w:rFonts w:hint="eastAsia" w:ascii="宋体" w:hAnsi="宋体"/>
          <w:sz w:val="28"/>
          <w:szCs w:val="28"/>
        </w:rPr>
        <w:t>全部剩余</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05032266">
      <w:pPr>
        <w:widowControl/>
        <w:adjustRightInd w:val="0"/>
        <w:snapToGrid w:val="0"/>
        <w:spacing w:line="276" w:lineRule="auto"/>
        <w:ind w:left="567"/>
        <w:rPr>
          <w:rFonts w:ascii="宋体" w:hAnsi="宋体"/>
          <w:sz w:val="28"/>
          <w:szCs w:val="28"/>
        </w:rPr>
      </w:pPr>
    </w:p>
    <w:p w14:paraId="4D5E366F">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w:t>
      </w:r>
      <w:r>
        <w:rPr>
          <w:rFonts w:ascii="宋体" w:hAnsi="宋体"/>
          <w:sz w:val="28"/>
          <w:szCs w:val="28"/>
        </w:rPr>
        <w:t>里程碑费用</w:t>
      </w:r>
      <w:r>
        <w:rPr>
          <w:rFonts w:hint="eastAsia" w:ascii="宋体" w:hAnsi="宋体"/>
          <w:sz w:val="28"/>
          <w:szCs w:val="28"/>
        </w:rPr>
        <w:t>支付</w:t>
      </w:r>
    </w:p>
    <w:p w14:paraId="65B43A74">
      <w:pPr>
        <w:widowControl/>
        <w:adjustRightInd w:val="0"/>
        <w:snapToGrid w:val="0"/>
        <w:spacing w:line="276" w:lineRule="auto"/>
        <w:ind w:left="1276"/>
        <w:rPr>
          <w:rFonts w:ascii="宋体" w:hAnsi="宋体"/>
          <w:sz w:val="28"/>
          <w:szCs w:val="28"/>
        </w:rPr>
      </w:pPr>
    </w:p>
    <w:p w14:paraId="25085FAF">
      <w:pPr>
        <w:widowControl/>
        <w:adjustRightInd w:val="0"/>
        <w:snapToGrid w:val="0"/>
        <w:spacing w:line="276" w:lineRule="auto"/>
        <w:ind w:left="1276"/>
        <w:rPr>
          <w:rFonts w:ascii="宋体" w:hAnsi="宋体"/>
          <w:sz w:val="28"/>
          <w:szCs w:val="28"/>
        </w:rPr>
      </w:pPr>
      <w:r>
        <w:rPr>
          <w:rFonts w:ascii="宋体" w:hAnsi="宋体"/>
          <w:sz w:val="28"/>
          <w:szCs w:val="28"/>
        </w:rPr>
        <w:t>被许可方</w:t>
      </w:r>
      <w:r>
        <w:rPr>
          <w:rFonts w:hint="eastAsia" w:ascii="宋体" w:hAnsi="宋体"/>
          <w:sz w:val="28"/>
          <w:szCs w:val="28"/>
        </w:rPr>
        <w:t>应根据附件三所</w:t>
      </w:r>
      <w:r>
        <w:rPr>
          <w:rFonts w:ascii="宋体" w:hAnsi="宋体"/>
          <w:sz w:val="28"/>
          <w:szCs w:val="28"/>
        </w:rPr>
        <w:t>列明的付款条件</w:t>
      </w:r>
      <w:r>
        <w:rPr>
          <w:rFonts w:hint="eastAsia" w:ascii="宋体" w:hAnsi="宋体"/>
          <w:sz w:val="28"/>
          <w:szCs w:val="28"/>
        </w:rPr>
        <w:t>，在相应条件达成时，根据附件三所示的步骤</w:t>
      </w:r>
      <w:r>
        <w:rPr>
          <w:rFonts w:ascii="宋体" w:hAnsi="宋体"/>
          <w:sz w:val="28"/>
          <w:szCs w:val="28"/>
        </w:rPr>
        <w:t>向许可方支付里程碑费用</w:t>
      </w:r>
      <w:r>
        <w:rPr>
          <w:rFonts w:hint="eastAsia" w:ascii="宋体" w:hAnsi="宋体"/>
          <w:sz w:val="28"/>
          <w:szCs w:val="28"/>
        </w:rPr>
        <w:t>。</w:t>
      </w:r>
    </w:p>
    <w:p w14:paraId="53A80B2D">
      <w:pPr>
        <w:widowControl/>
        <w:adjustRightInd w:val="0"/>
        <w:snapToGrid w:val="0"/>
        <w:spacing w:line="276" w:lineRule="auto"/>
        <w:ind w:left="1276"/>
        <w:rPr>
          <w:rFonts w:ascii="宋体" w:hAnsi="宋体"/>
          <w:sz w:val="28"/>
          <w:szCs w:val="28"/>
        </w:rPr>
      </w:pPr>
    </w:p>
    <w:p w14:paraId="1D5439FC">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(3)</w:t>
      </w:r>
      <w:r>
        <w:rPr>
          <w:rFonts w:ascii="宋体" w:hAnsi="宋体"/>
          <w:sz w:val="28"/>
          <w:szCs w:val="28"/>
        </w:rPr>
        <w:t>提成费用</w:t>
      </w:r>
      <w:r>
        <w:rPr>
          <w:rFonts w:hint="eastAsia" w:ascii="宋体" w:hAnsi="宋体"/>
          <w:sz w:val="28"/>
          <w:szCs w:val="28"/>
        </w:rPr>
        <w:t>支付</w:t>
      </w:r>
    </w:p>
    <w:p w14:paraId="57FF25ED">
      <w:pPr>
        <w:widowControl/>
        <w:adjustRightInd w:val="0"/>
        <w:snapToGrid w:val="0"/>
        <w:spacing w:line="276" w:lineRule="auto"/>
        <w:ind w:left="1276"/>
        <w:rPr>
          <w:rFonts w:ascii="宋体" w:hAnsi="宋体"/>
          <w:sz w:val="28"/>
          <w:szCs w:val="28"/>
        </w:rPr>
      </w:pPr>
    </w:p>
    <w:p w14:paraId="6CB5BDD6">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本合同所称的许可产品（“</w:t>
      </w:r>
      <w:r>
        <w:rPr>
          <w:rFonts w:hint="eastAsia" w:ascii="宋体" w:hAnsi="宋体"/>
          <w:b/>
          <w:sz w:val="28"/>
          <w:szCs w:val="28"/>
        </w:rPr>
        <w:t>许可产品</w:t>
      </w:r>
      <w:r>
        <w:rPr>
          <w:rFonts w:hint="eastAsia" w:ascii="宋体" w:hAnsi="宋体"/>
          <w:sz w:val="28"/>
          <w:szCs w:val="28"/>
        </w:rPr>
        <w:t>”）是指双方根据附件四所列许可产品清单或双方约定确认的许可专利覆盖的产品。</w:t>
      </w:r>
      <w:r>
        <w:rPr>
          <w:rFonts w:ascii="宋体" w:hAnsi="宋体"/>
          <w:sz w:val="28"/>
          <w:szCs w:val="28"/>
        </w:rPr>
        <w:t>被许可方应按照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14:paraId="2410D471">
      <w:pPr>
        <w:widowControl/>
        <w:adjustRightInd w:val="0"/>
        <w:snapToGrid w:val="0"/>
        <w:spacing w:line="276" w:lineRule="auto"/>
        <w:ind w:left="1276"/>
        <w:rPr>
          <w:rFonts w:ascii="宋体" w:hAnsi="宋体"/>
          <w:sz w:val="28"/>
          <w:szCs w:val="28"/>
        </w:rPr>
      </w:pPr>
    </w:p>
    <w:p w14:paraId="7CCD9954">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销售许可产品所获得的总金额（以合法合规开具的发票金额为准），扣除以下费用：包装费、运输费、税金、广告费以及符合法律法规要求的商业折扣、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2915878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销售许可产品所获得的总金额（以合法合规开具的发票金额为准），扣除下述费用：包装费、运输费、税金、广告费以及符合法律法规要求的商业折扣，</w:t>
      </w:r>
      <w:r>
        <w:rPr>
          <w:rFonts w:ascii="宋体" w:hAnsi="宋体"/>
          <w:sz w:val="28"/>
          <w:szCs w:val="28"/>
        </w:rPr>
        <w:t>进一步扣除许可产品生产材料的进货成本</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575E2C1D">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前，被许可方应先向许可方支付入门费（人民币/美元/……）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种方式向许可方支付相应的提成费用。</w:t>
      </w:r>
    </w:p>
    <w:p w14:paraId="7A0D20AD">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866D808">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636B83C">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74415AD">
      <w:pPr>
        <w:widowControl/>
        <w:adjustRightInd w:val="0"/>
        <w:snapToGrid w:val="0"/>
        <w:spacing w:line="276" w:lineRule="auto"/>
        <w:ind w:left="1276"/>
        <w:rPr>
          <w:rFonts w:ascii="宋体" w:hAnsi="宋体"/>
          <w:sz w:val="28"/>
          <w:szCs w:val="28"/>
        </w:rPr>
      </w:pPr>
    </w:p>
    <w:p w14:paraId="54DAF8DF">
      <w:pPr>
        <w:widowControl/>
        <w:adjustRightInd w:val="0"/>
        <w:snapToGrid w:val="0"/>
        <w:spacing w:line="276" w:lineRule="auto"/>
        <w:ind w:left="1276"/>
        <w:rPr>
          <w:rFonts w:ascii="宋体" w:hAnsi="宋体"/>
          <w:sz w:val="28"/>
          <w:szCs w:val="28"/>
        </w:rPr>
      </w:pPr>
      <w:r>
        <w:rPr>
          <w:rFonts w:ascii="宋体" w:hAnsi="宋体"/>
          <w:sz w:val="28"/>
          <w:szCs w:val="28"/>
        </w:rPr>
        <w:t>被许可方应当保存详细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，确保许可方对被许可方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。在许可方合理事先通知的情况下，被许可方应当向许可方</w:t>
      </w:r>
      <w:r>
        <w:rPr>
          <w:rFonts w:hint="eastAsia" w:ascii="宋体" w:hAnsi="宋体"/>
          <w:sz w:val="28"/>
          <w:szCs w:val="28"/>
        </w:rPr>
        <w:t>或许可方委托的机构</w:t>
      </w:r>
      <w:r>
        <w:rPr>
          <w:rFonts w:ascii="宋体" w:hAnsi="宋体"/>
          <w:sz w:val="28"/>
          <w:szCs w:val="28"/>
        </w:rPr>
        <w:t>开放该等记录以供许可方审计。如果审计的最终结果表明被许可方实际向许可方支付的</w:t>
      </w:r>
      <w:r>
        <w:rPr>
          <w:rFonts w:hint="eastAsia" w:ascii="宋体" w:hAnsi="宋体"/>
          <w:sz w:val="28"/>
          <w:szCs w:val="28"/>
        </w:rPr>
        <w:t>提成</w:t>
      </w:r>
      <w:r>
        <w:rPr>
          <w:rFonts w:ascii="宋体" w:hAnsi="宋体"/>
          <w:sz w:val="28"/>
          <w:szCs w:val="28"/>
        </w:rPr>
        <w:t>费用少于被许可方应向许可方支付的</w:t>
      </w:r>
      <w:r>
        <w:rPr>
          <w:rFonts w:hint="eastAsia" w:ascii="宋体" w:hAnsi="宋体"/>
          <w:sz w:val="28"/>
          <w:szCs w:val="28"/>
        </w:rPr>
        <w:t>提成</w:t>
      </w:r>
      <w:r>
        <w:rPr>
          <w:rFonts w:ascii="宋体" w:hAnsi="宋体"/>
          <w:sz w:val="28"/>
          <w:szCs w:val="28"/>
        </w:rPr>
        <w:t>费用，许可方有权要求被许可方</w:t>
      </w:r>
      <w:r>
        <w:rPr>
          <w:rFonts w:hint="eastAsia" w:ascii="宋体" w:hAnsi="宋体"/>
          <w:sz w:val="28"/>
          <w:szCs w:val="28"/>
        </w:rPr>
        <w:t>支付相应差额，若该差额超过被许可方应当向许可方支付的提成费用的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%，则被许可方还应当承担审计所产生的费用</w:t>
      </w:r>
      <w:r>
        <w:rPr>
          <w:rFonts w:ascii="宋体" w:hAnsi="宋体"/>
          <w:sz w:val="28"/>
          <w:szCs w:val="28"/>
        </w:rPr>
        <w:t>。</w:t>
      </w:r>
    </w:p>
    <w:p w14:paraId="20013C74">
      <w:pPr>
        <w:widowControl/>
        <w:adjustRightInd w:val="0"/>
        <w:snapToGrid w:val="0"/>
        <w:spacing w:line="276" w:lineRule="auto"/>
        <w:ind w:left="1276"/>
        <w:rPr>
          <w:rFonts w:ascii="宋体" w:hAnsi="宋体"/>
          <w:sz w:val="28"/>
          <w:szCs w:val="28"/>
        </w:rPr>
      </w:pPr>
    </w:p>
    <w:p w14:paraId="2EECCB76">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(4)其他费用支付形式</w:t>
      </w:r>
    </w:p>
    <w:p w14:paraId="48761B68">
      <w:pPr>
        <w:widowControl/>
        <w:adjustRightInd w:val="0"/>
        <w:snapToGrid w:val="0"/>
        <w:spacing w:line="276" w:lineRule="auto"/>
        <w:ind w:left="1276"/>
        <w:rPr>
          <w:rFonts w:ascii="宋体" w:hAnsi="宋体"/>
          <w:sz w:val="28"/>
          <w:szCs w:val="28"/>
        </w:rPr>
      </w:pPr>
    </w:p>
    <w:p w14:paraId="21F57A7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79A355A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75BD66BE">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6234065A">
      <w:pPr>
        <w:widowControl/>
        <w:adjustRightInd w:val="0"/>
        <w:snapToGrid w:val="0"/>
        <w:spacing w:line="276" w:lineRule="auto"/>
        <w:ind w:left="567"/>
        <w:rPr>
          <w:rFonts w:ascii="宋体" w:hAnsi="宋体"/>
          <w:sz w:val="28"/>
          <w:szCs w:val="28"/>
        </w:rPr>
      </w:pPr>
    </w:p>
    <w:p w14:paraId="66BE9C6D">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14:paraId="6925E5BD">
      <w:pPr>
        <w:widowControl/>
        <w:numPr>
          <w:ilvl w:val="255"/>
          <w:numId w:val="0"/>
        </w:numPr>
        <w:adjustRightInd w:val="0"/>
        <w:snapToGrid w:val="0"/>
        <w:spacing w:line="276" w:lineRule="auto"/>
        <w:ind w:left="567" w:leftChars="270"/>
        <w:rPr>
          <w:rFonts w:ascii="宋体" w:hAnsi="宋体"/>
          <w:bCs/>
          <w:sz w:val="28"/>
          <w:szCs w:val="28"/>
        </w:rPr>
      </w:pPr>
    </w:p>
    <w:p w14:paraId="1418E5BE">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（国际汇付/国际托收/国际信用证/国际保理）结算方式结算许可费，具体安排如下：</w:t>
      </w:r>
    </w:p>
    <w:p w14:paraId="4CF5C510">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5369029E">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723F8B31">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02BF0DDE">
      <w:pPr>
        <w:widowControl/>
        <w:numPr>
          <w:ilvl w:val="255"/>
          <w:numId w:val="0"/>
        </w:numPr>
        <w:adjustRightInd w:val="0"/>
        <w:snapToGrid w:val="0"/>
        <w:spacing w:line="276" w:lineRule="auto"/>
        <w:ind w:left="567" w:leftChars="270"/>
        <w:rPr>
          <w:rFonts w:ascii="宋体" w:hAnsi="宋体"/>
          <w:sz w:val="28"/>
          <w:szCs w:val="28"/>
        </w:rPr>
      </w:pPr>
    </w:p>
    <w:p w14:paraId="40CF0DD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14:paraId="1891B43A">
      <w:pPr>
        <w:widowControl/>
        <w:adjustRightInd w:val="0"/>
        <w:snapToGrid w:val="0"/>
        <w:spacing w:line="276" w:lineRule="auto"/>
        <w:ind w:left="567"/>
        <w:rPr>
          <w:rFonts w:ascii="宋体" w:hAnsi="宋体"/>
          <w:sz w:val="28"/>
          <w:szCs w:val="28"/>
        </w:rPr>
      </w:pPr>
    </w:p>
    <w:p w14:paraId="18330169">
      <w:pPr>
        <w:widowControl/>
        <w:adjustRightInd w:val="0"/>
        <w:snapToGrid w:val="0"/>
        <w:spacing w:line="276" w:lineRule="auto"/>
        <w:ind w:left="567"/>
        <w:rPr>
          <w:rFonts w:ascii="宋体" w:hAnsi="宋体"/>
          <w:sz w:val="28"/>
          <w:szCs w:val="28"/>
        </w:rPr>
      </w:pPr>
      <w:r>
        <w:rPr>
          <w:rFonts w:ascii="宋体" w:hAnsi="宋体"/>
          <w:sz w:val="28"/>
          <w:szCs w:val="28"/>
        </w:rPr>
        <w:t>被许可方应当按照上述支付方式将许可费支付至许可方账号或以现金方式支付给许可方。许可方开户名称</w:t>
      </w:r>
      <w:r>
        <w:rPr>
          <w:rFonts w:hint="eastAsia" w:ascii="宋体" w:hAnsi="宋体"/>
          <w:sz w:val="28"/>
          <w:szCs w:val="28"/>
        </w:rPr>
        <w:t>、开户银行</w:t>
      </w:r>
      <w:r>
        <w:rPr>
          <w:rFonts w:ascii="宋体" w:hAnsi="宋体"/>
          <w:sz w:val="28"/>
          <w:szCs w:val="28"/>
        </w:rPr>
        <w:t>和账号</w:t>
      </w:r>
      <w:r>
        <w:rPr>
          <w:rFonts w:hint="eastAsia" w:ascii="宋体" w:hAnsi="宋体"/>
          <w:sz w:val="28"/>
          <w:szCs w:val="28"/>
        </w:rPr>
        <w:t>如下</w:t>
      </w:r>
      <w:r>
        <w:rPr>
          <w:rFonts w:ascii="宋体" w:hAnsi="宋体"/>
          <w:sz w:val="28"/>
          <w:szCs w:val="28"/>
        </w:rPr>
        <w:t>：</w:t>
      </w:r>
    </w:p>
    <w:p w14:paraId="5A889788">
      <w:pPr>
        <w:widowControl/>
        <w:adjustRightInd w:val="0"/>
        <w:snapToGrid w:val="0"/>
        <w:spacing w:line="276" w:lineRule="auto"/>
        <w:ind w:left="567"/>
        <w:rPr>
          <w:rFonts w:ascii="宋体" w:hAnsi="宋体"/>
          <w:sz w:val="28"/>
          <w:szCs w:val="28"/>
        </w:rPr>
      </w:pPr>
    </w:p>
    <w:p w14:paraId="530DA3C9">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38DABA70">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1C945A1">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270C389">
      <w:pPr>
        <w:widowControl/>
        <w:adjustRightInd w:val="0"/>
        <w:snapToGrid w:val="0"/>
        <w:spacing w:line="276" w:lineRule="auto"/>
        <w:ind w:left="567"/>
        <w:rPr>
          <w:rFonts w:ascii="宋体" w:hAnsi="宋体"/>
          <w:sz w:val="28"/>
          <w:szCs w:val="28"/>
        </w:rPr>
      </w:pPr>
    </w:p>
    <w:p w14:paraId="0F8DC25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4.涉及多个专利（申请）权人共有许可专利的许可费用的分配方案，应按照以下第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23C717D0">
      <w:pPr>
        <w:widowControl/>
        <w:adjustRightInd w:val="0"/>
        <w:snapToGrid w:val="0"/>
        <w:spacing w:line="276" w:lineRule="auto"/>
        <w:ind w:left="567"/>
        <w:rPr>
          <w:rFonts w:ascii="宋体" w:hAnsi="宋体"/>
          <w:sz w:val="28"/>
          <w:szCs w:val="28"/>
        </w:rPr>
      </w:pPr>
    </w:p>
    <w:p w14:paraId="5FD85EF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5B261C35">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7C71D5AD">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12DF401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(2)共有许可专利的专利（申请）权人通过自行协商方式，另行约定许可专利的许可费用的分配方案。</w:t>
      </w:r>
    </w:p>
    <w:p w14:paraId="76DCB8C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14:paraId="030AB607">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14:paraId="2F274BC9">
      <w:pPr>
        <w:widowControl/>
        <w:adjustRightInd w:val="0"/>
        <w:snapToGrid w:val="0"/>
        <w:spacing w:line="276" w:lineRule="auto"/>
        <w:ind w:left="567"/>
        <w:rPr>
          <w:rFonts w:ascii="宋体" w:hAnsi="宋体"/>
          <w:sz w:val="28"/>
          <w:szCs w:val="28"/>
        </w:rPr>
      </w:pPr>
    </w:p>
    <w:p w14:paraId="44F4921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技术资料的交付与验收</w:t>
      </w:r>
      <w:r>
        <w:rPr>
          <w:rFonts w:hint="eastAsia" w:ascii="宋体" w:hAnsi="宋体"/>
          <w:b/>
          <w:sz w:val="28"/>
          <w:szCs w:val="28"/>
        </w:rPr>
        <w:t xml:space="preserve"> （选填）</w:t>
      </w:r>
    </w:p>
    <w:p w14:paraId="319A95B1">
      <w:pPr>
        <w:widowControl/>
        <w:adjustRightInd w:val="0"/>
        <w:snapToGrid w:val="0"/>
        <w:spacing w:line="276" w:lineRule="auto"/>
        <w:ind w:left="567"/>
        <w:rPr>
          <w:rFonts w:ascii="宋体" w:hAnsi="宋体"/>
          <w:sz w:val="28"/>
          <w:szCs w:val="28"/>
        </w:rPr>
      </w:pPr>
    </w:p>
    <w:p w14:paraId="7C731F34">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1.技术资料的确定</w:t>
      </w:r>
    </w:p>
    <w:p w14:paraId="2126F108">
      <w:pPr>
        <w:widowControl/>
        <w:adjustRightInd w:val="0"/>
        <w:snapToGrid w:val="0"/>
        <w:spacing w:line="276" w:lineRule="auto"/>
        <w:ind w:left="567"/>
        <w:rPr>
          <w:rFonts w:ascii="宋体" w:hAnsi="宋体"/>
          <w:sz w:val="28"/>
          <w:szCs w:val="28"/>
        </w:rPr>
      </w:pPr>
    </w:p>
    <w:p w14:paraId="3FF19E06">
      <w:pPr>
        <w:widowControl/>
        <w:adjustRightInd w:val="0"/>
        <w:snapToGrid w:val="0"/>
        <w:spacing w:line="276" w:lineRule="auto"/>
        <w:ind w:left="567"/>
        <w:rPr>
          <w:rFonts w:ascii="宋体" w:hAnsi="宋体"/>
          <w:sz w:val="28"/>
          <w:szCs w:val="28"/>
        </w:rPr>
      </w:pPr>
      <w:r>
        <w:rPr>
          <w:rFonts w:hint="eastAsia" w:ascii="宋体" w:hAnsi="宋体"/>
          <w:sz w:val="28"/>
          <w:szCs w:val="28"/>
        </w:rPr>
        <w:t>许可方应当根据本合同约定向被许可方提供技术资料（“</w:t>
      </w:r>
      <w:r>
        <w:rPr>
          <w:rFonts w:hint="eastAsia" w:ascii="宋体" w:hAnsi="宋体"/>
          <w:b/>
          <w:sz w:val="28"/>
          <w:szCs w:val="28"/>
        </w:rPr>
        <w:t>技术资料</w:t>
      </w:r>
      <w:r>
        <w:rPr>
          <w:rFonts w:hint="eastAsia" w:ascii="宋体" w:hAnsi="宋体"/>
          <w:sz w:val="28"/>
          <w:szCs w:val="28"/>
        </w:rPr>
        <w:t>”），本合同项下的技术资料通过以下第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090E45AD">
      <w:pPr>
        <w:widowControl/>
        <w:adjustRightInd w:val="0"/>
        <w:snapToGrid w:val="0"/>
        <w:spacing w:line="276" w:lineRule="auto"/>
        <w:ind w:left="567"/>
        <w:rPr>
          <w:rFonts w:ascii="宋体" w:hAnsi="宋体"/>
          <w:sz w:val="28"/>
          <w:szCs w:val="28"/>
        </w:rPr>
      </w:pPr>
    </w:p>
    <w:p w14:paraId="4C2DB44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(1)技术资料指截止至本合同生效前，许可方所持有的全部与许可专利相关的文件，包括但不限于：</w:t>
      </w:r>
    </w:p>
    <w:p w14:paraId="0428DBAC">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图纸、技术规格、制造规范和标准以及</w:t>
      </w:r>
      <w:r>
        <w:rPr>
          <w:rFonts w:hint="eastAsia" w:ascii="宋体" w:hAnsi="宋体"/>
          <w:sz w:val="28"/>
          <w:szCs w:val="28"/>
        </w:rPr>
        <w:t>其他许可</w:t>
      </w:r>
      <w:r>
        <w:rPr>
          <w:rFonts w:ascii="宋体" w:hAnsi="宋体"/>
          <w:sz w:val="28"/>
          <w:szCs w:val="28"/>
        </w:rPr>
        <w:t>产品的制造组装、现场安装、调试、操作和维护文件；</w:t>
      </w:r>
    </w:p>
    <w:p w14:paraId="26B97159">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拟采购的组件和材料清单、采购标准和采购所需的必要信息；</w:t>
      </w:r>
    </w:p>
    <w:p w14:paraId="4367FBC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许可</w:t>
      </w:r>
      <w:r>
        <w:rPr>
          <w:rFonts w:ascii="宋体" w:hAnsi="宋体"/>
          <w:sz w:val="28"/>
          <w:szCs w:val="28"/>
        </w:rPr>
        <w:t>产品及其主要组件的技术性能的详细说明</w:t>
      </w:r>
      <w:r>
        <w:rPr>
          <w:rFonts w:hint="eastAsia" w:ascii="宋体" w:hAnsi="宋体"/>
          <w:sz w:val="28"/>
          <w:szCs w:val="28"/>
        </w:rPr>
        <w:t>。</w:t>
      </w:r>
    </w:p>
    <w:p w14:paraId="3CC58C1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(2)技术资料以双方在附件五中确认的清单为准。</w:t>
      </w:r>
    </w:p>
    <w:p w14:paraId="15E0B53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FE32AA9">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3D95B1E">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203E390">
      <w:pPr>
        <w:widowControl/>
        <w:adjustRightInd w:val="0"/>
        <w:snapToGrid w:val="0"/>
        <w:spacing w:line="276" w:lineRule="auto"/>
        <w:ind w:left="567"/>
        <w:rPr>
          <w:rFonts w:ascii="宋体" w:hAnsi="宋体"/>
          <w:sz w:val="28"/>
          <w:szCs w:val="28"/>
        </w:rPr>
      </w:pPr>
    </w:p>
    <w:p w14:paraId="4D718F4D">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2.技术资料的交付</w:t>
      </w:r>
    </w:p>
    <w:p w14:paraId="03D4BE51">
      <w:pPr>
        <w:widowControl/>
        <w:adjustRightInd w:val="0"/>
        <w:snapToGrid w:val="0"/>
        <w:spacing w:line="276" w:lineRule="auto"/>
        <w:ind w:left="567"/>
        <w:rPr>
          <w:rFonts w:ascii="宋体" w:hAnsi="宋体"/>
          <w:sz w:val="28"/>
          <w:szCs w:val="28"/>
        </w:rPr>
      </w:pPr>
    </w:p>
    <w:p w14:paraId="380234DD">
      <w:pPr>
        <w:widowControl/>
        <w:adjustRightInd w:val="0"/>
        <w:snapToGrid w:val="0"/>
        <w:spacing w:line="276" w:lineRule="auto"/>
        <w:ind w:left="567"/>
        <w:rPr>
          <w:rFonts w:ascii="宋体" w:hAnsi="宋体"/>
          <w:sz w:val="28"/>
          <w:szCs w:val="28"/>
        </w:rPr>
      </w:pPr>
      <w:r>
        <w:rPr>
          <w:rFonts w:ascii="宋体" w:hAnsi="宋体"/>
          <w:sz w:val="28"/>
          <w:szCs w:val="28"/>
        </w:rPr>
        <w:t>许可</w:t>
      </w:r>
      <w:r>
        <w:rPr>
          <w:rFonts w:hint="eastAsia" w:ascii="宋体" w:hAnsi="宋体"/>
          <w:sz w:val="28"/>
          <w:szCs w:val="28"/>
        </w:rPr>
        <w:t>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项的约定交付技术资料（单选）：</w:t>
      </w:r>
    </w:p>
    <w:p w14:paraId="289F5A69">
      <w:pPr>
        <w:widowControl/>
        <w:adjustRightInd w:val="0"/>
        <w:snapToGrid w:val="0"/>
        <w:spacing w:line="276" w:lineRule="auto"/>
        <w:ind w:left="567"/>
        <w:rPr>
          <w:rFonts w:ascii="宋体" w:hAnsi="宋体"/>
          <w:sz w:val="28"/>
          <w:szCs w:val="28"/>
        </w:rPr>
      </w:pPr>
    </w:p>
    <w:p w14:paraId="0B7E6AD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（地点）</w:t>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方式，向被许可方交付</w:t>
      </w:r>
      <w:r>
        <w:rPr>
          <w:rFonts w:hint="eastAsia" w:ascii="宋体" w:hAnsi="宋体"/>
          <w:sz w:val="28"/>
          <w:szCs w:val="28"/>
        </w:rPr>
        <w:t>全部</w:t>
      </w:r>
      <w:r>
        <w:rPr>
          <w:rFonts w:ascii="宋体" w:hAnsi="宋体"/>
          <w:sz w:val="28"/>
          <w:szCs w:val="28"/>
        </w:rPr>
        <w:t>技术资料</w:t>
      </w:r>
      <w:r>
        <w:rPr>
          <w:rFonts w:hint="eastAsia" w:ascii="宋体" w:hAnsi="宋体"/>
          <w:sz w:val="28"/>
          <w:szCs w:val="28"/>
        </w:rPr>
        <w:t>。</w:t>
      </w:r>
    </w:p>
    <w:p w14:paraId="0DC2DC7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(2)技术资料的交付安排以双方在附件五中确认的流程为准。</w:t>
      </w:r>
    </w:p>
    <w:p w14:paraId="191880A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50C528B">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238F210">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B00EA9D">
      <w:pPr>
        <w:widowControl/>
        <w:adjustRightInd w:val="0"/>
        <w:snapToGrid w:val="0"/>
        <w:spacing w:line="276" w:lineRule="auto"/>
        <w:ind w:left="567"/>
        <w:rPr>
          <w:rFonts w:ascii="宋体" w:hAnsi="宋体"/>
          <w:sz w:val="28"/>
          <w:szCs w:val="28"/>
        </w:rPr>
      </w:pPr>
    </w:p>
    <w:p w14:paraId="4BE9F268">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3.技术资料的验收</w:t>
      </w:r>
    </w:p>
    <w:p w14:paraId="7173BEC7">
      <w:pPr>
        <w:widowControl/>
        <w:adjustRightInd w:val="0"/>
        <w:snapToGrid w:val="0"/>
        <w:spacing w:line="276" w:lineRule="auto"/>
        <w:ind w:left="567"/>
        <w:rPr>
          <w:rFonts w:ascii="宋体" w:hAnsi="宋体"/>
          <w:sz w:val="28"/>
          <w:szCs w:val="28"/>
        </w:rPr>
      </w:pPr>
    </w:p>
    <w:p w14:paraId="203988C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被许可方应在收到交付的技术资料后的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对技术资料</w:t>
      </w:r>
      <w:r>
        <w:rPr>
          <w:rFonts w:hint="eastAsia" w:ascii="宋体" w:hAnsi="宋体"/>
          <w:sz w:val="28"/>
          <w:szCs w:val="28"/>
        </w:rPr>
        <w:t>进行</w:t>
      </w:r>
      <w:r>
        <w:rPr>
          <w:rFonts w:ascii="宋体" w:hAnsi="宋体"/>
          <w:sz w:val="28"/>
          <w:szCs w:val="28"/>
        </w:rPr>
        <w:t>验收，许可方应当予以积极配合。</w:t>
      </w:r>
    </w:p>
    <w:p w14:paraId="1568F6E0">
      <w:pPr>
        <w:widowControl/>
        <w:adjustRightInd w:val="0"/>
        <w:snapToGrid w:val="0"/>
        <w:spacing w:line="276" w:lineRule="auto"/>
        <w:ind w:left="567"/>
        <w:rPr>
          <w:rFonts w:ascii="宋体" w:hAnsi="宋体"/>
          <w:sz w:val="28"/>
          <w:szCs w:val="28"/>
        </w:rPr>
      </w:pPr>
    </w:p>
    <w:p w14:paraId="74C5845E">
      <w:pPr>
        <w:widowControl/>
        <w:numPr>
          <w:ilvl w:val="2"/>
          <w:numId w:val="0"/>
        </w:numPr>
        <w:adjustRightInd w:val="0"/>
        <w:snapToGrid w:val="0"/>
        <w:spacing w:line="276" w:lineRule="auto"/>
        <w:ind w:left="1276" w:hanging="709"/>
        <w:rPr>
          <w:rFonts w:ascii="宋体" w:hAnsi="宋体"/>
          <w:sz w:val="28"/>
          <w:szCs w:val="28"/>
          <w:u w:val="single"/>
        </w:rPr>
      </w:pPr>
      <w:r>
        <w:rPr>
          <w:rFonts w:hint="eastAsia" w:ascii="宋体" w:hAnsi="宋体"/>
          <w:sz w:val="28"/>
          <w:szCs w:val="28"/>
        </w:rPr>
        <w:t>(2)双方同意，技术资料的验收标准（“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hint="eastAsia" w:ascii="宋体" w:hAnsi="宋体"/>
          <w:sz w:val="28"/>
          <w:szCs w:val="28"/>
        </w:rPr>
        <w:t>项的约定确定（单选）：</w:t>
      </w:r>
    </w:p>
    <w:p w14:paraId="2BC440DD">
      <w:pPr>
        <w:widowControl/>
        <w:adjustRightInd w:val="0"/>
        <w:snapToGrid w:val="0"/>
        <w:spacing w:line="276" w:lineRule="auto"/>
        <w:ind w:left="1276"/>
        <w:rPr>
          <w:rFonts w:ascii="宋体" w:hAnsi="宋体"/>
          <w:sz w:val="28"/>
          <w:szCs w:val="28"/>
          <w:u w:val="single"/>
        </w:rPr>
      </w:pPr>
    </w:p>
    <w:p w14:paraId="71DF1E1D">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在被许可方使用的相关设备、材料、条件、工艺以及技术人员的能力、技术力量等均满足实施许可专利的前提下，技术资料应当确保被许可方可以实施许可专利。</w:t>
      </w:r>
    </w:p>
    <w:p w14:paraId="276E726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技术资料应当符合附件五中约定的标准。</w:t>
      </w:r>
    </w:p>
    <w:p w14:paraId="571B752F">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0F660E4">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3FCEE1E">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2CA464A">
      <w:pPr>
        <w:widowControl/>
        <w:adjustRightInd w:val="0"/>
        <w:snapToGrid w:val="0"/>
        <w:spacing w:line="276" w:lineRule="auto"/>
        <w:ind w:left="567"/>
        <w:rPr>
          <w:rFonts w:ascii="宋体" w:hAnsi="宋体"/>
          <w:sz w:val="28"/>
          <w:szCs w:val="28"/>
        </w:rPr>
      </w:pPr>
    </w:p>
    <w:p w14:paraId="49834592">
      <w:pPr>
        <w:widowControl/>
        <w:adjustRightInd w:val="0"/>
        <w:snapToGrid w:val="0"/>
        <w:spacing w:line="276" w:lineRule="auto"/>
        <w:ind w:left="567"/>
        <w:rPr>
          <w:rFonts w:ascii="宋体" w:hAnsi="宋体"/>
          <w:sz w:val="28"/>
          <w:szCs w:val="28"/>
        </w:rPr>
      </w:pPr>
      <w:r>
        <w:rPr>
          <w:rFonts w:hint="eastAsia" w:ascii="宋体" w:hAnsi="宋体"/>
          <w:sz w:val="28"/>
          <w:szCs w:val="28"/>
        </w:rPr>
        <w:t>经验收符合验收标准的，</w:t>
      </w:r>
      <w:r>
        <w:rPr>
          <w:rFonts w:ascii="宋体" w:hAnsi="宋体"/>
          <w:sz w:val="28"/>
          <w:szCs w:val="28"/>
        </w:rPr>
        <w:t>被许可方</w:t>
      </w:r>
      <w:r>
        <w:rPr>
          <w:rFonts w:hint="eastAsia" w:ascii="宋体" w:hAnsi="宋体"/>
          <w:sz w:val="28"/>
          <w:szCs w:val="28"/>
        </w:rPr>
        <w:t>应向许可方提供验收合格的书面凭证；若自被许可方收到技术资料后的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日内，被许可方未向许可方提供验收合格的书面凭证，也未向许可方发出验收不合格通知的，视为技术资料符合验收标准。被许可方验收发现</w:t>
      </w:r>
      <w:r>
        <w:rPr>
          <w:rFonts w:ascii="宋体" w:hAnsi="宋体"/>
          <w:sz w:val="28"/>
          <w:szCs w:val="28"/>
        </w:rPr>
        <w:t>技术资料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14:paraId="0AC92AA8">
      <w:pPr>
        <w:widowControl/>
        <w:adjustRightInd w:val="0"/>
        <w:snapToGrid w:val="0"/>
        <w:spacing w:line="276" w:lineRule="auto"/>
        <w:ind w:left="567"/>
        <w:rPr>
          <w:rFonts w:ascii="宋体" w:hAnsi="宋体"/>
          <w:sz w:val="28"/>
          <w:szCs w:val="28"/>
        </w:rPr>
      </w:pPr>
    </w:p>
    <w:p w14:paraId="616E5BBC">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rFonts w:hint="eastAsia" w:ascii="宋体" w:hAnsi="宋体"/>
          <w:sz w:val="28"/>
          <w:szCs w:val="28"/>
        </w:rPr>
        <w:t>，</w:t>
      </w:r>
      <w:r>
        <w:rPr>
          <w:rFonts w:ascii="宋体" w:hAnsi="宋体"/>
          <w:sz w:val="28"/>
          <w:szCs w:val="28"/>
        </w:rPr>
        <w:t>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方再次验收，直至验收合格为止</w:t>
      </w:r>
      <w:r>
        <w:rPr>
          <w:rFonts w:hint="eastAsia" w:ascii="宋体" w:hAnsi="宋体"/>
          <w:sz w:val="28"/>
          <w:szCs w:val="28"/>
        </w:rPr>
        <w:t>。</w:t>
      </w:r>
    </w:p>
    <w:p w14:paraId="03B68067">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w:t>
      </w: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14:paraId="27EDB414">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14:paraId="792EADD2">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788AA74">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8802D30">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04B2424">
      <w:pPr>
        <w:widowControl/>
        <w:adjustRightInd w:val="0"/>
        <w:snapToGrid w:val="0"/>
        <w:spacing w:line="276" w:lineRule="auto"/>
        <w:ind w:left="567"/>
        <w:rPr>
          <w:rFonts w:ascii="宋体" w:hAnsi="宋体"/>
          <w:sz w:val="28"/>
          <w:szCs w:val="28"/>
        </w:rPr>
      </w:pPr>
    </w:p>
    <w:p w14:paraId="3656A8AE">
      <w:pPr>
        <w:widowControl/>
        <w:adjustRightInd w:val="0"/>
        <w:snapToGrid w:val="0"/>
        <w:spacing w:line="276" w:lineRule="auto"/>
        <w:ind w:left="567"/>
        <w:rPr>
          <w:rFonts w:ascii="宋体" w:hAnsi="宋体"/>
          <w:sz w:val="28"/>
          <w:szCs w:val="28"/>
        </w:rPr>
      </w:pPr>
      <w:r>
        <w:rPr>
          <w:rFonts w:ascii="宋体" w:hAnsi="宋体"/>
          <w:sz w:val="28"/>
          <w:szCs w:val="28"/>
        </w:rPr>
        <w:t>与验收相关的费用由</w:t>
      </w:r>
      <w:r>
        <w:rPr>
          <w:rFonts w:hint="eastAsia" w:ascii="宋体" w:hAnsi="宋体"/>
          <w:sz w:val="28"/>
          <w:szCs w:val="28"/>
          <w:u w:val="single"/>
        </w:rPr>
        <w:t xml:space="preserve">  </w:t>
      </w:r>
      <w:r>
        <w:rPr>
          <w:rFonts w:ascii="宋体" w:hAnsi="宋体"/>
          <w:sz w:val="28"/>
          <w:szCs w:val="28"/>
          <w:u w:val="single"/>
        </w:rPr>
        <w:t xml:space="preserve">                                     </w:t>
      </w:r>
    </w:p>
    <w:p w14:paraId="7230C3C8">
      <w:pPr>
        <w:widowControl/>
        <w:adjustRightInd w:val="0"/>
        <w:snapToGrid w:val="0"/>
        <w:spacing w:line="276" w:lineRule="auto"/>
        <w:ind w:left="567"/>
        <w:rPr>
          <w:rFonts w:ascii="宋体" w:hAnsi="宋体"/>
          <w:sz w:val="28"/>
          <w:szCs w:val="28"/>
        </w:rPr>
      </w:pPr>
      <w:r>
        <w:rPr>
          <w:rFonts w:hint="eastAsia" w:ascii="宋体" w:hAnsi="宋体"/>
          <w:sz w:val="28"/>
          <w:szCs w:val="28"/>
        </w:rPr>
        <w:t>（许可方单独/被许可方单独/双方共同/……）</w:t>
      </w:r>
      <w:r>
        <w:rPr>
          <w:rFonts w:ascii="宋体" w:hAnsi="宋体"/>
          <w:sz w:val="28"/>
          <w:szCs w:val="28"/>
        </w:rPr>
        <w:t>承担。</w:t>
      </w:r>
    </w:p>
    <w:p w14:paraId="3641D3D6">
      <w:pPr>
        <w:widowControl/>
        <w:adjustRightInd w:val="0"/>
        <w:snapToGrid w:val="0"/>
        <w:spacing w:line="276" w:lineRule="auto"/>
        <w:ind w:left="567"/>
        <w:rPr>
          <w:rFonts w:ascii="宋体" w:hAnsi="宋体"/>
          <w:sz w:val="28"/>
          <w:szCs w:val="28"/>
        </w:rPr>
      </w:pPr>
    </w:p>
    <w:p w14:paraId="6E97999F">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第五条  </w:t>
      </w:r>
      <w:r>
        <w:rPr>
          <w:rFonts w:ascii="宋体" w:hAnsi="宋体"/>
          <w:b/>
          <w:sz w:val="28"/>
          <w:szCs w:val="28"/>
        </w:rPr>
        <w:t>技术服务与培训</w:t>
      </w:r>
      <w:r>
        <w:rPr>
          <w:rFonts w:hint="eastAsia" w:ascii="宋体" w:hAnsi="宋体"/>
          <w:b/>
          <w:sz w:val="28"/>
          <w:szCs w:val="28"/>
        </w:rPr>
        <w:t xml:space="preserve"> （选填）</w:t>
      </w:r>
    </w:p>
    <w:p w14:paraId="43FED3F8">
      <w:pPr>
        <w:widowControl/>
        <w:adjustRightInd w:val="0"/>
        <w:snapToGrid w:val="0"/>
        <w:spacing w:line="276" w:lineRule="auto"/>
        <w:ind w:left="567"/>
        <w:rPr>
          <w:rFonts w:ascii="宋体" w:hAnsi="宋体"/>
          <w:sz w:val="28"/>
          <w:szCs w:val="28"/>
        </w:rPr>
      </w:pPr>
    </w:p>
    <w:p w14:paraId="02CDDD5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14:paraId="45FCCF14">
      <w:pPr>
        <w:widowControl/>
        <w:adjustRightInd w:val="0"/>
        <w:snapToGrid w:val="0"/>
        <w:spacing w:line="276" w:lineRule="auto"/>
        <w:ind w:left="567"/>
        <w:rPr>
          <w:rFonts w:ascii="宋体" w:hAnsi="宋体"/>
          <w:sz w:val="28"/>
          <w:szCs w:val="28"/>
        </w:rPr>
      </w:pPr>
    </w:p>
    <w:p w14:paraId="60244910">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14:paraId="2FD361F7">
      <w:pPr>
        <w:widowControl/>
        <w:adjustRightInd w:val="0"/>
        <w:snapToGrid w:val="0"/>
        <w:spacing w:line="276" w:lineRule="auto"/>
        <w:ind w:left="567"/>
        <w:rPr>
          <w:rFonts w:ascii="宋体" w:hAnsi="宋体"/>
          <w:sz w:val="28"/>
          <w:szCs w:val="28"/>
        </w:rPr>
      </w:pPr>
    </w:p>
    <w:p w14:paraId="0179FB0D">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(1)技术服务的内容以及提供方式以附件六为准。</w:t>
      </w:r>
    </w:p>
    <w:p w14:paraId="019879B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8A506B0">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850E2D9">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C210984">
      <w:pPr>
        <w:widowControl/>
        <w:adjustRightInd w:val="0"/>
        <w:snapToGrid w:val="0"/>
        <w:spacing w:line="276" w:lineRule="auto"/>
        <w:ind w:left="567"/>
        <w:rPr>
          <w:rFonts w:ascii="宋体" w:hAnsi="宋体"/>
          <w:sz w:val="28"/>
          <w:szCs w:val="28"/>
        </w:rPr>
      </w:pPr>
    </w:p>
    <w:p w14:paraId="77C582D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14:paraId="7132D058">
      <w:pPr>
        <w:pStyle w:val="17"/>
        <w:ind w:firstLine="560"/>
        <w:rPr>
          <w:rFonts w:ascii="宋体" w:hAnsi="宋体"/>
          <w:sz w:val="28"/>
          <w:szCs w:val="28"/>
        </w:rPr>
      </w:pPr>
    </w:p>
    <w:p w14:paraId="6469C609">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14:paraId="12CBD88B">
      <w:pPr>
        <w:widowControl/>
        <w:adjustRightInd w:val="0"/>
        <w:snapToGrid w:val="0"/>
        <w:spacing w:line="276" w:lineRule="auto"/>
        <w:ind w:left="567"/>
        <w:rPr>
          <w:rFonts w:ascii="宋体" w:hAnsi="宋体"/>
          <w:sz w:val="28"/>
          <w:szCs w:val="28"/>
        </w:rPr>
      </w:pPr>
    </w:p>
    <w:p w14:paraId="614B00BA">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(1)培训的内容以及提供方式以附件六为准。</w:t>
      </w:r>
    </w:p>
    <w:p w14:paraId="6A6C4C4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BAE53FA">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2123AF8">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CB083BB">
      <w:pPr>
        <w:widowControl/>
        <w:adjustRightInd w:val="0"/>
        <w:snapToGrid w:val="0"/>
        <w:spacing w:line="276" w:lineRule="auto"/>
        <w:ind w:left="567"/>
        <w:rPr>
          <w:rFonts w:ascii="宋体" w:hAnsi="宋体"/>
          <w:sz w:val="28"/>
          <w:szCs w:val="28"/>
        </w:rPr>
      </w:pPr>
    </w:p>
    <w:p w14:paraId="7DFBD1B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许可方完成技术服务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许可方单独/被许可方单独/双方共同/……</w:t>
      </w:r>
      <w:r>
        <w:rPr>
          <w:rFonts w:ascii="宋体" w:hAnsi="宋体"/>
          <w:sz w:val="28"/>
          <w:szCs w:val="28"/>
        </w:rPr>
        <w:t>）</w:t>
      </w:r>
      <w:r>
        <w:rPr>
          <w:rFonts w:hint="eastAsia" w:ascii="宋体" w:hAnsi="宋体"/>
          <w:sz w:val="28"/>
          <w:szCs w:val="28"/>
        </w:rPr>
        <w:t>承担。</w:t>
      </w:r>
    </w:p>
    <w:p w14:paraId="429DF8B5">
      <w:pPr>
        <w:widowControl/>
        <w:adjustRightInd w:val="0"/>
        <w:snapToGrid w:val="0"/>
        <w:spacing w:line="276" w:lineRule="auto"/>
        <w:ind w:left="567"/>
        <w:rPr>
          <w:rFonts w:ascii="宋体" w:hAnsi="宋体"/>
          <w:sz w:val="28"/>
          <w:szCs w:val="28"/>
        </w:rPr>
      </w:pPr>
    </w:p>
    <w:p w14:paraId="3E23B4B1">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第六条  </w:t>
      </w:r>
      <w:r>
        <w:rPr>
          <w:rFonts w:ascii="宋体" w:hAnsi="宋体"/>
          <w:b/>
          <w:sz w:val="28"/>
          <w:szCs w:val="28"/>
        </w:rPr>
        <w:t>保密条款</w:t>
      </w:r>
    </w:p>
    <w:p w14:paraId="66617117">
      <w:pPr>
        <w:widowControl/>
        <w:adjustRightInd w:val="0"/>
        <w:snapToGrid w:val="0"/>
        <w:spacing w:line="276" w:lineRule="auto"/>
        <w:ind w:left="567"/>
        <w:rPr>
          <w:rFonts w:ascii="宋体" w:hAnsi="宋体"/>
          <w:sz w:val="28"/>
          <w:szCs w:val="28"/>
        </w:rPr>
      </w:pPr>
    </w:p>
    <w:p w14:paraId="3AC95BB6">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6136CA18">
      <w:pPr>
        <w:widowControl/>
        <w:adjustRightInd w:val="0"/>
        <w:snapToGrid w:val="0"/>
        <w:spacing w:line="276" w:lineRule="auto"/>
        <w:ind w:left="567"/>
        <w:rPr>
          <w:rFonts w:ascii="宋体" w:hAnsi="宋体"/>
          <w:sz w:val="28"/>
          <w:szCs w:val="28"/>
        </w:rPr>
      </w:pPr>
    </w:p>
    <w:p w14:paraId="602D1FD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信息包括但不限于本合同各条款的具体内容、本合同的签署及履行情况(不包括经双方协商同意后通过专利实施许可合同备案等方式所公开的信息)以及披露方所披露的技术资料和其它与财务、商业、业务、运营或技术相关的非公开信息。</w:t>
      </w:r>
    </w:p>
    <w:p w14:paraId="006FCEBA">
      <w:pPr>
        <w:widowControl/>
        <w:adjustRightInd w:val="0"/>
        <w:snapToGrid w:val="0"/>
        <w:spacing w:line="276" w:lineRule="auto"/>
        <w:ind w:left="1276"/>
        <w:rPr>
          <w:rFonts w:ascii="宋体" w:hAnsi="宋体"/>
          <w:sz w:val="28"/>
          <w:szCs w:val="28"/>
        </w:rPr>
      </w:pPr>
    </w:p>
    <w:p w14:paraId="4786F1BC">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14:paraId="210B0EC6">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14:paraId="09D4E3D6">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14:paraId="24A6FB9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14:paraId="437A70F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14:paraId="781BAAA0">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⑤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8E0AFDB">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1ADFF8B">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359441D">
      <w:pPr>
        <w:widowControl/>
        <w:adjustRightInd w:val="0"/>
        <w:snapToGrid w:val="0"/>
        <w:spacing w:line="276" w:lineRule="auto"/>
        <w:ind w:left="1276"/>
        <w:rPr>
          <w:rFonts w:ascii="宋体" w:hAnsi="宋体"/>
          <w:sz w:val="28"/>
          <w:szCs w:val="28"/>
        </w:rPr>
      </w:pPr>
    </w:p>
    <w:p w14:paraId="5330E36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4BE82A8">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2C44F0D">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0522EAB">
      <w:pPr>
        <w:widowControl/>
        <w:adjustRightInd w:val="0"/>
        <w:snapToGrid w:val="0"/>
        <w:spacing w:line="276" w:lineRule="auto"/>
        <w:ind w:left="567"/>
        <w:rPr>
          <w:rFonts w:ascii="宋体" w:hAnsi="宋体"/>
          <w:sz w:val="28"/>
          <w:szCs w:val="28"/>
        </w:rPr>
      </w:pPr>
    </w:p>
    <w:p w14:paraId="2A2ABB1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14:paraId="58F11DBC">
      <w:pPr>
        <w:widowControl/>
        <w:adjustRightInd w:val="0"/>
        <w:snapToGrid w:val="0"/>
        <w:spacing w:line="276" w:lineRule="auto"/>
        <w:ind w:left="567"/>
        <w:rPr>
          <w:rFonts w:ascii="宋体" w:hAnsi="宋体"/>
          <w:sz w:val="28"/>
          <w:szCs w:val="28"/>
        </w:rPr>
      </w:pPr>
    </w:p>
    <w:p w14:paraId="5440FDA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3. </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w:t>
      </w:r>
      <w:r>
        <w:rPr>
          <w:rFonts w:hint="eastAsia" w:ascii="宋体" w:hAnsi="宋体"/>
          <w:sz w:val="28"/>
          <w:szCs w:val="28"/>
        </w:rPr>
        <w:t>，</w:t>
      </w:r>
      <w:r>
        <w:rPr>
          <w:rFonts w:ascii="宋体" w:hAnsi="宋体"/>
          <w:sz w:val="28"/>
          <w:szCs w:val="28"/>
        </w:rPr>
        <w:t>并遵守与本条规定相符的保密和不使用义务。</w:t>
      </w:r>
    </w:p>
    <w:p w14:paraId="79CC6291">
      <w:pPr>
        <w:widowControl/>
        <w:adjustRightInd w:val="0"/>
        <w:snapToGrid w:val="0"/>
        <w:spacing w:line="276" w:lineRule="auto"/>
        <w:ind w:left="567"/>
        <w:rPr>
          <w:rFonts w:ascii="宋体" w:hAnsi="宋体"/>
          <w:sz w:val="28"/>
          <w:szCs w:val="28"/>
        </w:rPr>
      </w:pPr>
    </w:p>
    <w:p w14:paraId="236231D7">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接收方</w:t>
      </w:r>
      <w:r>
        <w:rPr>
          <w:rFonts w:ascii="宋体" w:hAnsi="宋体"/>
          <w:sz w:val="28"/>
          <w:szCs w:val="28"/>
        </w:rPr>
        <w:t>应立即将</w:t>
      </w:r>
      <w:r>
        <w:rPr>
          <w:rFonts w:hint="eastAsia" w:ascii="宋体" w:hAnsi="宋体"/>
          <w:sz w:val="28"/>
          <w:szCs w:val="28"/>
        </w:rPr>
        <w:t>披露方</w:t>
      </w:r>
      <w:r>
        <w:rPr>
          <w:rFonts w:ascii="宋体" w:hAnsi="宋体"/>
          <w:sz w:val="28"/>
          <w:szCs w:val="28"/>
        </w:rPr>
        <w:t>的所有保密信息归还</w:t>
      </w:r>
      <w:r>
        <w:rPr>
          <w:rFonts w:hint="eastAsia" w:ascii="宋体" w:hAnsi="宋体"/>
          <w:sz w:val="28"/>
          <w:szCs w:val="28"/>
        </w:rPr>
        <w:t>披露方或销毁。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14:paraId="599A3695">
      <w:pPr>
        <w:widowControl/>
        <w:adjustRightInd w:val="0"/>
        <w:snapToGrid w:val="0"/>
        <w:spacing w:line="276" w:lineRule="auto"/>
        <w:ind w:left="567"/>
        <w:rPr>
          <w:rFonts w:ascii="宋体" w:hAnsi="宋体"/>
          <w:sz w:val="28"/>
          <w:szCs w:val="28"/>
        </w:rPr>
      </w:pPr>
    </w:p>
    <w:p w14:paraId="29EA0FBC">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2C58505F">
      <w:pPr>
        <w:widowControl/>
        <w:adjustRightInd w:val="0"/>
        <w:snapToGrid w:val="0"/>
        <w:spacing w:line="276" w:lineRule="auto"/>
        <w:ind w:left="567"/>
        <w:rPr>
          <w:rFonts w:ascii="宋体" w:hAnsi="宋体"/>
          <w:sz w:val="28"/>
          <w:szCs w:val="28"/>
        </w:rPr>
      </w:pPr>
    </w:p>
    <w:p w14:paraId="1D17E48E">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14:paraId="1E325648">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(2)本保密条款在本合同执行完毕或终止后持续有效。</w:t>
      </w:r>
    </w:p>
    <w:p w14:paraId="46303C3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14:paraId="368820D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14:paraId="5AC98BFC">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14:paraId="6537036D">
      <w:pPr>
        <w:widowControl/>
        <w:adjustRightInd w:val="0"/>
        <w:snapToGrid w:val="0"/>
        <w:spacing w:line="276" w:lineRule="auto"/>
        <w:ind w:left="567"/>
        <w:rPr>
          <w:rFonts w:ascii="宋体" w:hAnsi="宋体"/>
          <w:sz w:val="28"/>
          <w:szCs w:val="28"/>
        </w:rPr>
      </w:pPr>
    </w:p>
    <w:p w14:paraId="60B175F9">
      <w:pPr>
        <w:widowControl/>
        <w:tabs>
          <w:tab w:val="left" w:pos="1418"/>
        </w:tabs>
        <w:adjustRightInd w:val="0"/>
        <w:snapToGrid w:val="0"/>
        <w:spacing w:line="276" w:lineRule="auto"/>
        <w:ind w:left="425" w:hanging="425"/>
        <w:outlineLvl w:val="0"/>
        <w:rPr>
          <w:rFonts w:ascii="宋体" w:hAnsi="宋体"/>
          <w:sz w:val="28"/>
          <w:szCs w:val="28"/>
        </w:rPr>
      </w:pPr>
      <w:r>
        <w:rPr>
          <w:rFonts w:hint="eastAsia" w:ascii="宋体" w:hAnsi="宋体"/>
          <w:b/>
          <w:sz w:val="28"/>
          <w:szCs w:val="28"/>
        </w:rPr>
        <w:t xml:space="preserve">第七条  </w:t>
      </w:r>
      <w:r>
        <w:rPr>
          <w:rFonts w:ascii="宋体" w:hAnsi="宋体"/>
          <w:b/>
          <w:sz w:val="28"/>
          <w:szCs w:val="28"/>
        </w:rPr>
        <w:t>后续改进</w:t>
      </w:r>
      <w:r>
        <w:rPr>
          <w:rFonts w:hint="eastAsia" w:ascii="宋体" w:hAnsi="宋体"/>
          <w:b/>
          <w:sz w:val="28"/>
          <w:szCs w:val="28"/>
        </w:rPr>
        <w:t>成果</w:t>
      </w:r>
      <w:r>
        <w:rPr>
          <w:rFonts w:ascii="宋体" w:hAnsi="宋体"/>
          <w:b/>
          <w:sz w:val="28"/>
          <w:szCs w:val="28"/>
        </w:rPr>
        <w:t>的提供与分享</w:t>
      </w:r>
    </w:p>
    <w:p w14:paraId="797DFDEA">
      <w:pPr>
        <w:widowControl/>
        <w:adjustRightInd w:val="0"/>
        <w:snapToGrid w:val="0"/>
        <w:spacing w:line="276" w:lineRule="auto"/>
        <w:ind w:left="567"/>
        <w:rPr>
          <w:rFonts w:ascii="宋体" w:hAnsi="宋体"/>
          <w:sz w:val="28"/>
          <w:szCs w:val="28"/>
        </w:rPr>
      </w:pPr>
    </w:p>
    <w:p w14:paraId="7F74FB3D">
      <w:pPr>
        <w:widowControl/>
        <w:adjustRightInd w:val="0"/>
        <w:snapToGrid w:val="0"/>
        <w:spacing w:line="276" w:lineRule="auto"/>
        <w:ind w:left="567"/>
        <w:rPr>
          <w:rFonts w:ascii="宋体" w:hAnsi="宋体"/>
          <w:sz w:val="28"/>
          <w:szCs w:val="28"/>
        </w:rPr>
      </w:pPr>
      <w:r>
        <w:rPr>
          <w:rFonts w:hint="eastAsia" w:ascii="宋体" w:hAnsi="宋体"/>
          <w:sz w:val="28"/>
          <w:szCs w:val="28"/>
        </w:rPr>
        <w:t>双方有权在许可专利的基础上后续</w:t>
      </w:r>
      <w:r>
        <w:rPr>
          <w:rFonts w:ascii="宋体" w:hAnsi="宋体"/>
          <w:sz w:val="28"/>
          <w:szCs w:val="28"/>
        </w:rPr>
        <w:t>改进</w:t>
      </w:r>
      <w:r>
        <w:rPr>
          <w:rFonts w:hint="eastAsia" w:ascii="宋体" w:hAnsi="宋体"/>
          <w:sz w:val="28"/>
          <w:szCs w:val="28"/>
        </w:rPr>
        <w:t>，由此产生的技术成果在本合同中称为“</w:t>
      </w:r>
      <w:r>
        <w:rPr>
          <w:rFonts w:hint="eastAsia" w:ascii="宋体" w:hAnsi="宋体"/>
          <w:b/>
          <w:sz w:val="28"/>
          <w:szCs w:val="28"/>
        </w:rPr>
        <w:t>改进成果</w:t>
      </w:r>
      <w:r>
        <w:rPr>
          <w:rFonts w:hint="eastAsia" w:ascii="宋体" w:hAnsi="宋体"/>
          <w:sz w:val="28"/>
          <w:szCs w:val="28"/>
        </w:rPr>
        <w:t>”，双方可就“改进成果”的具体范围另行书面确认。</w:t>
      </w:r>
      <w:r>
        <w:rPr>
          <w:rFonts w:ascii="宋体" w:hAnsi="宋体"/>
          <w:sz w:val="28"/>
          <w:szCs w:val="28"/>
        </w:rPr>
        <w:t>双方对改进</w:t>
      </w:r>
      <w:r>
        <w:rPr>
          <w:rFonts w:hint="eastAsia" w:ascii="宋体" w:hAnsi="宋体"/>
          <w:sz w:val="28"/>
          <w:szCs w:val="28"/>
        </w:rPr>
        <w:t>成果</w:t>
      </w:r>
      <w:r>
        <w:rPr>
          <w:rFonts w:ascii="宋体" w:hAnsi="宋体"/>
          <w:sz w:val="28"/>
          <w:szCs w:val="28"/>
        </w:rPr>
        <w:t>按</w:t>
      </w:r>
      <w:r>
        <w:rPr>
          <w:rFonts w:hint="eastAsia" w:ascii="宋体" w:hAnsi="宋体"/>
          <w:sz w:val="28"/>
          <w:szCs w:val="28"/>
        </w:rPr>
        <w:t>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w:t>
      </w:r>
      <w:r>
        <w:rPr>
          <w:rFonts w:ascii="宋体" w:hAnsi="宋体"/>
          <w:sz w:val="28"/>
          <w:szCs w:val="28"/>
        </w:rPr>
        <w:t>处理</w:t>
      </w:r>
      <w:r>
        <w:rPr>
          <w:rFonts w:hint="eastAsia" w:ascii="宋体" w:hAnsi="宋体"/>
          <w:sz w:val="28"/>
          <w:szCs w:val="28"/>
        </w:rPr>
        <w:t>（可多选）：</w:t>
      </w:r>
    </w:p>
    <w:p w14:paraId="4F60A695">
      <w:pPr>
        <w:widowControl/>
        <w:adjustRightInd w:val="0"/>
        <w:snapToGrid w:val="0"/>
        <w:spacing w:line="276" w:lineRule="auto"/>
        <w:ind w:left="567"/>
        <w:rPr>
          <w:rFonts w:ascii="宋体" w:hAnsi="宋体"/>
          <w:sz w:val="28"/>
          <w:szCs w:val="28"/>
        </w:rPr>
      </w:pPr>
    </w:p>
    <w:p w14:paraId="1836DE5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一方对所</w:t>
      </w:r>
      <w:r>
        <w:rPr>
          <w:rFonts w:hint="eastAsia" w:ascii="宋体" w:hAnsi="宋体"/>
          <w:sz w:val="28"/>
          <w:szCs w:val="28"/>
        </w:rPr>
        <w:t>完成</w:t>
      </w:r>
      <w:r>
        <w:rPr>
          <w:rFonts w:ascii="宋体" w:hAnsi="宋体"/>
          <w:sz w:val="28"/>
          <w:szCs w:val="28"/>
        </w:rPr>
        <w:t>的改进</w:t>
      </w:r>
      <w:r>
        <w:rPr>
          <w:rFonts w:hint="eastAsia" w:ascii="宋体" w:hAnsi="宋体"/>
          <w:sz w:val="28"/>
          <w:szCs w:val="28"/>
        </w:rPr>
        <w:t>成果，</w:t>
      </w:r>
      <w:r>
        <w:rPr>
          <w:rFonts w:ascii="宋体" w:hAnsi="宋体"/>
          <w:sz w:val="28"/>
          <w:szCs w:val="28"/>
        </w:rPr>
        <w:t>应</w:t>
      </w:r>
      <w:r>
        <w:rPr>
          <w:rFonts w:hint="eastAsia" w:ascii="宋体" w:hAnsi="宋体"/>
          <w:sz w:val="28"/>
          <w:szCs w:val="28"/>
        </w:rPr>
        <w:t>在成果完成后</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日内</w:t>
      </w:r>
      <w:r>
        <w:rPr>
          <w:rFonts w:ascii="宋体" w:hAnsi="宋体"/>
          <w:sz w:val="28"/>
          <w:szCs w:val="28"/>
        </w:rPr>
        <w:t>通知另一方</w:t>
      </w:r>
      <w:r>
        <w:rPr>
          <w:rFonts w:hint="eastAsia" w:ascii="宋体" w:hAnsi="宋体"/>
          <w:sz w:val="28"/>
          <w:szCs w:val="28"/>
        </w:rPr>
        <w:t>。</w:t>
      </w:r>
    </w:p>
    <w:p w14:paraId="33E1C3C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对于一方单独完成的改进，包括申请专利的权利在内的所有权益由该方单独享有。</w:t>
      </w:r>
    </w:p>
    <w:p w14:paraId="3F76B12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对于一方单独完成的改进，另一方具有同等条件下</w:t>
      </w:r>
      <w:r>
        <w:rPr>
          <w:sz w:val="28"/>
          <w:u w:val="single"/>
        </w:rPr>
        <w:t xml:space="preserve">            </w:t>
      </w:r>
    </w:p>
    <w:p w14:paraId="3D13BDF1">
      <w:pPr>
        <w:widowControl/>
        <w:adjustRightInd w:val="0"/>
        <w:snapToGrid w:val="0"/>
        <w:spacing w:line="276" w:lineRule="auto"/>
        <w:ind w:left="1276"/>
        <w:rPr>
          <w:rFonts w:ascii="宋体" w:hAnsi="宋体"/>
          <w:sz w:val="28"/>
          <w:szCs w:val="28"/>
        </w:rPr>
      </w:pPr>
      <w:r>
        <w:rPr>
          <w:sz w:val="28"/>
          <w:u w:val="single"/>
        </w:rPr>
        <w:t xml:space="preserve">                  </w:t>
      </w:r>
      <w:r>
        <w:rPr>
          <w:rFonts w:hint="eastAsia"/>
          <w:sz w:val="28"/>
        </w:rPr>
        <w:t>（优先获得许可/优先购买/免费使用/……）</w:t>
      </w:r>
      <w:r>
        <w:rPr>
          <w:rFonts w:ascii="宋体" w:hAnsi="宋体"/>
          <w:sz w:val="28"/>
          <w:szCs w:val="28"/>
        </w:rPr>
        <w:t>的权利。</w:t>
      </w:r>
    </w:p>
    <w:p w14:paraId="0E4AFC8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对于双方共同完成的改进，包括申请专利的权利在内的所有权益由双方共同享有。</w:t>
      </w:r>
    </w:p>
    <w:p w14:paraId="7580D23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7356CFA">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E0A5616">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BA730C0">
      <w:pPr>
        <w:widowControl/>
        <w:adjustRightInd w:val="0"/>
        <w:snapToGrid w:val="0"/>
        <w:spacing w:line="276" w:lineRule="auto"/>
        <w:ind w:left="567"/>
        <w:rPr>
          <w:rFonts w:ascii="宋体" w:hAnsi="宋体"/>
          <w:sz w:val="28"/>
          <w:szCs w:val="28"/>
        </w:rPr>
      </w:pPr>
    </w:p>
    <w:p w14:paraId="751CBABA">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第八条  </w:t>
      </w:r>
      <w:r>
        <w:rPr>
          <w:rFonts w:ascii="宋体" w:hAnsi="宋体"/>
          <w:b/>
          <w:sz w:val="28"/>
          <w:szCs w:val="28"/>
        </w:rPr>
        <w:t>陈述与保证</w:t>
      </w:r>
    </w:p>
    <w:p w14:paraId="1AAD75A9">
      <w:pPr>
        <w:widowControl/>
        <w:adjustRightInd w:val="0"/>
        <w:snapToGrid w:val="0"/>
        <w:spacing w:line="276" w:lineRule="auto"/>
        <w:ind w:left="567"/>
        <w:rPr>
          <w:rFonts w:ascii="宋体" w:hAnsi="宋体"/>
          <w:sz w:val="28"/>
          <w:szCs w:val="28"/>
        </w:rPr>
      </w:pPr>
    </w:p>
    <w:p w14:paraId="5CFE22A3">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14:paraId="1EDDFCC8">
      <w:pPr>
        <w:widowControl/>
        <w:adjustRightInd w:val="0"/>
        <w:snapToGrid w:val="0"/>
        <w:spacing w:line="276" w:lineRule="auto"/>
        <w:ind w:left="567"/>
        <w:rPr>
          <w:rFonts w:ascii="宋体" w:hAnsi="宋体"/>
          <w:sz w:val="28"/>
          <w:szCs w:val="28"/>
        </w:rPr>
      </w:pPr>
    </w:p>
    <w:p w14:paraId="79C77FD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许可方</w:t>
      </w:r>
      <w:r>
        <w:rPr>
          <w:rFonts w:ascii="宋体" w:hAnsi="宋体"/>
          <w:sz w:val="28"/>
          <w:szCs w:val="28"/>
        </w:rPr>
        <w:t>拥有许可和披露许可</w:t>
      </w:r>
      <w:r>
        <w:rPr>
          <w:rFonts w:hint="eastAsia" w:ascii="宋体" w:hAnsi="宋体"/>
          <w:sz w:val="28"/>
          <w:szCs w:val="28"/>
        </w:rPr>
        <w:t>专利</w:t>
      </w:r>
      <w:r>
        <w:rPr>
          <w:rFonts w:ascii="宋体" w:hAnsi="宋体"/>
          <w:sz w:val="28"/>
          <w:szCs w:val="28"/>
        </w:rPr>
        <w:t>的</w:t>
      </w:r>
      <w:r>
        <w:rPr>
          <w:rFonts w:hint="eastAsia" w:ascii="宋体" w:hAnsi="宋体"/>
          <w:sz w:val="28"/>
          <w:szCs w:val="28"/>
        </w:rPr>
        <w:t>完整</w:t>
      </w:r>
      <w:r>
        <w:rPr>
          <w:rFonts w:ascii="宋体" w:hAnsi="宋体"/>
          <w:sz w:val="28"/>
          <w:szCs w:val="28"/>
        </w:rPr>
        <w:t>权利。</w:t>
      </w:r>
    </w:p>
    <w:p w14:paraId="04CE1E7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许可</w:t>
      </w:r>
      <w:r>
        <w:rPr>
          <w:rFonts w:hint="eastAsia" w:ascii="宋体" w:hAnsi="宋体"/>
          <w:sz w:val="28"/>
          <w:szCs w:val="28"/>
        </w:rPr>
        <w:t>专利</w:t>
      </w:r>
      <w:r>
        <w:rPr>
          <w:rFonts w:ascii="宋体" w:hAnsi="宋体"/>
          <w:sz w:val="28"/>
          <w:szCs w:val="28"/>
        </w:rPr>
        <w:t>不附带将会影响或限制本合同项下的许可方许可的任何权利负担，且不存在与任何第三方签订的合同将影响或限制其在本合同项下的许可。</w:t>
      </w:r>
    </w:p>
    <w:p w14:paraId="1C12E84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(3)许可方并未收到有关任何主张、起诉、诉讼或法律程序的通知或威胁，并未知晓或有理由知晓任何信息，将会：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导致许可专利的任何权利要求无效或不可执行；或</w:t>
      </w:r>
      <w:r>
        <w:rPr>
          <w:rFonts w:ascii="宋体" w:hAnsi="宋体"/>
          <w:sz w:val="28"/>
          <w:szCs w:val="28"/>
        </w:rPr>
        <w:t>（b）</w:t>
      </w:r>
      <w:r>
        <w:rPr>
          <w:rFonts w:hint="eastAsia" w:ascii="宋体" w:hAnsi="宋体"/>
          <w:sz w:val="28"/>
          <w:szCs w:val="28"/>
        </w:rPr>
        <w:t>导致许可专利中的任何专利申请的任何权利要求未能被授予或与其目前申请的范围相比受到严重限制或局限；或（c）导致被许可方</w:t>
      </w:r>
      <w:r>
        <w:rPr>
          <w:rFonts w:ascii="宋体" w:hAnsi="宋体"/>
          <w:sz w:val="28"/>
          <w:szCs w:val="28"/>
        </w:rPr>
        <w:t>根据本合同对</w:t>
      </w:r>
      <w:r>
        <w:rPr>
          <w:rFonts w:hint="eastAsia" w:ascii="宋体" w:hAnsi="宋体"/>
          <w:sz w:val="28"/>
          <w:szCs w:val="28"/>
        </w:rPr>
        <w:t>许可</w:t>
      </w:r>
      <w:r>
        <w:rPr>
          <w:rFonts w:ascii="宋体" w:hAnsi="宋体"/>
          <w:sz w:val="28"/>
          <w:szCs w:val="28"/>
        </w:rPr>
        <w:t>专利的实施侵犯第三人的合法权利</w:t>
      </w:r>
      <w:r>
        <w:rPr>
          <w:rFonts w:hint="eastAsia" w:ascii="宋体" w:hAnsi="宋体"/>
          <w:sz w:val="28"/>
          <w:szCs w:val="28"/>
        </w:rPr>
        <w:t>。</w:t>
      </w:r>
    </w:p>
    <w:p w14:paraId="364D005C">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w:t>
      </w:r>
      <w:r>
        <w:rPr>
          <w:rFonts w:hint="eastAsia" w:ascii="宋体" w:hAnsi="宋体"/>
          <w:sz w:val="28"/>
          <w:szCs w:val="28"/>
        </w:rPr>
        <w:t xml:space="preserve">  本合同签署后，若</w:t>
      </w:r>
      <w:r>
        <w:rPr>
          <w:rFonts w:ascii="宋体" w:hAnsi="宋体"/>
          <w:sz w:val="28"/>
          <w:szCs w:val="28"/>
        </w:rPr>
        <w:t>第三方针对许可</w:t>
      </w:r>
      <w:r>
        <w:rPr>
          <w:rFonts w:hint="eastAsia" w:ascii="宋体" w:hAnsi="宋体"/>
          <w:sz w:val="28"/>
          <w:szCs w:val="28"/>
        </w:rPr>
        <w:t>专利</w:t>
      </w:r>
      <w:r>
        <w:rPr>
          <w:rFonts w:ascii="宋体" w:hAnsi="宋体"/>
          <w:sz w:val="28"/>
          <w:szCs w:val="28"/>
        </w:rPr>
        <w:t>的实施提出任何侵权控诉</w:t>
      </w:r>
      <w:r>
        <w:rPr>
          <w:rFonts w:hint="eastAsia" w:ascii="宋体" w:hAnsi="宋体"/>
          <w:sz w:val="28"/>
          <w:szCs w:val="28"/>
        </w:rPr>
        <w:t>，许可方应当协助被许可方参与应诉和协助抗辩，尽量帮助许可专利技术实施不受影响。所导致的民事责任承担，由双方另行协商确定，但被许可方违背本合同约定方式实施导致的侵权除外。</w:t>
      </w:r>
    </w:p>
    <w:p w14:paraId="6E2CD6F4">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许可方将已收到的专利管理部门或法院发出的体现许可专利法律状态变化或可能发生变化的文书（包括</w:t>
      </w:r>
      <w:r>
        <w:rPr>
          <w:rFonts w:ascii="宋体" w:hAnsi="宋体"/>
          <w:bCs/>
          <w:sz w:val="28"/>
          <w:szCs w:val="28"/>
        </w:rPr>
        <w:t>专利权无效宣告请求书</w:t>
      </w:r>
      <w:r>
        <w:rPr>
          <w:rFonts w:hint="eastAsia" w:ascii="宋体" w:hAnsi="宋体"/>
          <w:bCs/>
          <w:sz w:val="28"/>
          <w:szCs w:val="28"/>
        </w:rPr>
        <w:t>、口头审理通知书、专利申请审查意见通知书、视为撤回通知书、驳回通知书等）信息及时告知被许可方。</w:t>
      </w:r>
    </w:p>
    <w:p w14:paraId="249DA235">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许可方按时缴纳专利年费，以保持许可专利的有效性。</w:t>
      </w:r>
    </w:p>
    <w:p w14:paraId="1F56DD56">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7</w:t>
      </w:r>
      <w:r>
        <w:rPr>
          <w:rFonts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B22BDC1">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20E7903">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D06E81E">
      <w:pPr>
        <w:widowControl/>
        <w:adjustRightInd w:val="0"/>
        <w:snapToGrid w:val="0"/>
        <w:spacing w:line="276" w:lineRule="auto"/>
        <w:ind w:left="567"/>
        <w:rPr>
          <w:rFonts w:ascii="宋体" w:hAnsi="宋体"/>
          <w:sz w:val="28"/>
          <w:szCs w:val="28"/>
        </w:rPr>
      </w:pPr>
    </w:p>
    <w:p w14:paraId="698ADEB2">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2.被</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14:paraId="1C291059">
      <w:pPr>
        <w:widowControl/>
        <w:adjustRightInd w:val="0"/>
        <w:snapToGrid w:val="0"/>
        <w:spacing w:line="276" w:lineRule="auto"/>
        <w:ind w:left="567"/>
        <w:rPr>
          <w:rFonts w:ascii="宋体" w:hAnsi="宋体"/>
          <w:sz w:val="28"/>
          <w:szCs w:val="28"/>
        </w:rPr>
      </w:pPr>
    </w:p>
    <w:p w14:paraId="15CE9A34">
      <w:pPr>
        <w:widowControl/>
        <w:adjustRightInd w:val="0"/>
        <w:snapToGrid w:val="0"/>
        <w:spacing w:line="276" w:lineRule="auto"/>
        <w:ind w:firstLine="560" w:firstLineChars="200"/>
        <w:outlineLvl w:val="2"/>
        <w:rPr>
          <w:rFonts w:ascii="宋体" w:hAnsi="宋体"/>
          <w:sz w:val="28"/>
          <w:szCs w:val="28"/>
        </w:rPr>
      </w:pPr>
      <w:r>
        <w:rPr>
          <w:rFonts w:hint="eastAsia" w:ascii="宋体" w:hAnsi="宋体"/>
          <w:sz w:val="28"/>
          <w:szCs w:val="28"/>
        </w:rPr>
        <w:t xml:space="preserve">(1) 在本合同有效期内，被许可方根据本合同约定积极实施许可专利。     </w:t>
      </w:r>
    </w:p>
    <w:p w14:paraId="352B7A33">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(2) 被许可方积极配合许可方完成本合同的备案。</w:t>
      </w:r>
    </w:p>
    <w:p w14:paraId="347FC7B0">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(3)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14:paraId="1D18A057">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F5CEBE1">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81BC341">
      <w:pPr>
        <w:widowControl/>
        <w:adjustRightInd w:val="0"/>
        <w:snapToGrid w:val="0"/>
        <w:spacing w:line="276" w:lineRule="auto"/>
        <w:rPr>
          <w:rFonts w:ascii="宋体" w:hAnsi="宋体"/>
          <w:sz w:val="28"/>
          <w:szCs w:val="28"/>
        </w:rPr>
      </w:pPr>
    </w:p>
    <w:p w14:paraId="29CCED8A">
      <w:pPr>
        <w:widowControl/>
        <w:adjustRightInd w:val="0"/>
        <w:snapToGrid w:val="0"/>
        <w:spacing w:line="276" w:lineRule="auto"/>
        <w:ind w:left="567"/>
        <w:rPr>
          <w:rFonts w:ascii="宋体" w:hAnsi="宋体"/>
          <w:sz w:val="28"/>
          <w:szCs w:val="28"/>
        </w:rPr>
      </w:pPr>
    </w:p>
    <w:p w14:paraId="1C2D6A74">
      <w:pPr>
        <w:widowControl/>
        <w:tabs>
          <w:tab w:val="left" w:pos="1418"/>
        </w:tabs>
        <w:adjustRightInd w:val="0"/>
        <w:snapToGrid w:val="0"/>
        <w:spacing w:line="276" w:lineRule="auto"/>
        <w:ind w:left="425" w:hanging="425"/>
        <w:outlineLvl w:val="0"/>
        <w:rPr>
          <w:rFonts w:ascii="宋体" w:hAnsi="宋体"/>
          <w:b/>
          <w:bCs/>
          <w:sz w:val="28"/>
          <w:szCs w:val="28"/>
        </w:rPr>
      </w:pPr>
      <w:r>
        <w:rPr>
          <w:rFonts w:hint="eastAsia" w:ascii="宋体" w:hAnsi="宋体"/>
          <w:b/>
          <w:bCs/>
          <w:sz w:val="28"/>
          <w:szCs w:val="28"/>
        </w:rPr>
        <w:t>第九条  技术进出口（选填）</w:t>
      </w:r>
    </w:p>
    <w:p w14:paraId="170FD1FC">
      <w:pPr>
        <w:widowControl/>
        <w:numPr>
          <w:ilvl w:val="255"/>
          <w:numId w:val="0"/>
        </w:numPr>
        <w:adjustRightInd w:val="0"/>
        <w:snapToGrid w:val="0"/>
        <w:spacing w:line="276" w:lineRule="auto"/>
        <w:ind w:left="567" w:leftChars="270"/>
        <w:rPr>
          <w:rFonts w:ascii="宋体" w:hAnsi="宋体"/>
          <w:bCs/>
          <w:sz w:val="28"/>
          <w:szCs w:val="28"/>
        </w:rPr>
      </w:pPr>
    </w:p>
    <w:p w14:paraId="40E0218A">
      <w:pPr>
        <w:widowControl/>
        <w:numPr>
          <w:ilvl w:val="255"/>
          <w:numId w:val="0"/>
        </w:numPr>
        <w:adjustRightInd w:val="0"/>
        <w:snapToGrid w:val="0"/>
        <w:spacing w:line="276" w:lineRule="auto"/>
        <w:ind w:left="580" w:leftChars="276"/>
        <w:rPr>
          <w:rFonts w:ascii="宋体" w:hAnsi="宋体"/>
          <w:sz w:val="28"/>
          <w:szCs w:val="28"/>
        </w:rPr>
      </w:pPr>
      <w:r>
        <w:rPr>
          <w:rFonts w:hint="eastAsia" w:ascii="宋体" w:hAnsi="宋体"/>
          <w:bCs/>
          <w:sz w:val="28"/>
          <w:szCs w:val="28"/>
        </w:rPr>
        <w:t>双方均已就本合同项下的许可专利的进出口管制情形尽到审慎调查义务，承诺许可专利符合所有适用的技术进出口管制相关规定，并且已经取得必要的许可或授权（如适用）。</w:t>
      </w:r>
    </w:p>
    <w:p w14:paraId="5C4FD373">
      <w:pPr>
        <w:widowControl/>
        <w:adjustRightInd w:val="0"/>
        <w:snapToGrid w:val="0"/>
        <w:spacing w:line="276" w:lineRule="auto"/>
        <w:ind w:left="567"/>
        <w:rPr>
          <w:rFonts w:ascii="宋体" w:hAnsi="宋体"/>
          <w:sz w:val="28"/>
          <w:szCs w:val="28"/>
        </w:rPr>
      </w:pPr>
    </w:p>
    <w:p w14:paraId="58F8EC0E">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第十条  侵权应对及</w:t>
      </w:r>
      <w:r>
        <w:rPr>
          <w:rFonts w:ascii="宋体" w:hAnsi="宋体"/>
          <w:b/>
          <w:sz w:val="28"/>
          <w:szCs w:val="28"/>
        </w:rPr>
        <w:t>共同维权</w:t>
      </w:r>
    </w:p>
    <w:p w14:paraId="2842A797">
      <w:pPr>
        <w:widowControl/>
        <w:adjustRightInd w:val="0"/>
        <w:snapToGrid w:val="0"/>
        <w:spacing w:line="276" w:lineRule="auto"/>
        <w:ind w:left="567"/>
        <w:rPr>
          <w:rFonts w:ascii="宋体" w:hAnsi="宋体"/>
          <w:sz w:val="28"/>
          <w:szCs w:val="28"/>
        </w:rPr>
      </w:pPr>
    </w:p>
    <w:p w14:paraId="1B3F76C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1. </w:t>
      </w:r>
      <w:r>
        <w:rPr>
          <w:rFonts w:ascii="宋体" w:hAnsi="宋体"/>
          <w:sz w:val="28"/>
          <w:szCs w:val="28"/>
        </w:rPr>
        <w:t>如果有第三方针对许可</w:t>
      </w:r>
      <w:r>
        <w:rPr>
          <w:rFonts w:hint="eastAsia" w:ascii="宋体" w:hAnsi="宋体"/>
          <w:sz w:val="28"/>
          <w:szCs w:val="28"/>
        </w:rPr>
        <w:t>专利</w:t>
      </w:r>
      <w:r>
        <w:rPr>
          <w:rFonts w:ascii="宋体" w:hAnsi="宋体"/>
          <w:sz w:val="28"/>
          <w:szCs w:val="28"/>
        </w:rPr>
        <w:t>的实施提出任何侵权控诉的，首先得到通知的一方，应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项的约定处理（单选）：</w:t>
      </w:r>
    </w:p>
    <w:p w14:paraId="40965FAF">
      <w:pPr>
        <w:widowControl/>
        <w:adjustRightInd w:val="0"/>
        <w:snapToGrid w:val="0"/>
        <w:spacing w:line="276" w:lineRule="auto"/>
        <w:ind w:left="567"/>
        <w:rPr>
          <w:rFonts w:ascii="宋体" w:hAnsi="宋体"/>
          <w:sz w:val="28"/>
          <w:szCs w:val="28"/>
        </w:rPr>
      </w:pPr>
    </w:p>
    <w:p w14:paraId="7D2085C7">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双方对共同应诉事宜不作约定，各自保留应诉的全部法定权利。</w:t>
      </w:r>
    </w:p>
    <w:p w14:paraId="547ED304">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双方应当在后得到通知的一方收到通知后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日内，另行协商具体应诉事宜。</w:t>
      </w:r>
    </w:p>
    <w:p w14:paraId="2B336B42">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（许可方/被许可方）（“</w:t>
      </w:r>
      <w:r>
        <w:rPr>
          <w:rFonts w:hint="eastAsia" w:ascii="宋体" w:hAnsi="宋体"/>
          <w:b/>
          <w:sz w:val="28"/>
          <w:szCs w:val="28"/>
        </w:rPr>
        <w:t>主要应诉方</w:t>
      </w:r>
      <w:r>
        <w:rPr>
          <w:rFonts w:hint="eastAsia" w:ascii="宋体" w:hAnsi="宋体"/>
          <w:sz w:val="28"/>
          <w:szCs w:val="28"/>
        </w:rPr>
        <w:t>”）承担应诉相关费用，应诉具体方案以主要应诉方的意见为准，但</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（被许可方/许可方）（“</w:t>
      </w:r>
      <w:r>
        <w:rPr>
          <w:rFonts w:hint="eastAsia" w:ascii="宋体" w:hAnsi="宋体"/>
          <w:b/>
          <w:sz w:val="28"/>
          <w:szCs w:val="28"/>
        </w:rPr>
        <w:t>协助应诉方</w:t>
      </w:r>
      <w:r>
        <w:rPr>
          <w:rFonts w:hint="eastAsia" w:ascii="宋体" w:hAnsi="宋体"/>
          <w:sz w:val="28"/>
          <w:szCs w:val="28"/>
        </w:rPr>
        <w:t>”）应提供必要协助。对于因协助应诉方未经主要应诉方书面同意而进行抗辩或和解而被要求支付的任何费用和损失，主要应诉方不予承担。但主要应诉方在接到通知后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日内不作应诉表示或放弃应诉的，协助应诉方有权自行承担费用参与应诉并不受本项限制。</w:t>
      </w:r>
    </w:p>
    <w:p w14:paraId="582643AE">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12B3F53">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40EFDDD">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63E36E3">
      <w:pPr>
        <w:widowControl/>
        <w:adjustRightInd w:val="0"/>
        <w:snapToGrid w:val="0"/>
        <w:spacing w:line="276" w:lineRule="auto"/>
        <w:ind w:left="567"/>
        <w:rPr>
          <w:rFonts w:ascii="宋体" w:hAnsi="宋体"/>
          <w:sz w:val="28"/>
          <w:szCs w:val="28"/>
        </w:rPr>
      </w:pPr>
    </w:p>
    <w:p w14:paraId="3241AF4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2. </w:t>
      </w:r>
      <w:r>
        <w:rPr>
          <w:rFonts w:ascii="宋体" w:hAnsi="宋体"/>
          <w:sz w:val="28"/>
          <w:szCs w:val="28"/>
        </w:rPr>
        <w:t>如果一方得知第三方涉嫌侵犯任何</w:t>
      </w:r>
      <w:r>
        <w:rPr>
          <w:rFonts w:hint="eastAsia" w:ascii="宋体" w:hAnsi="宋体"/>
          <w:sz w:val="28"/>
          <w:szCs w:val="28"/>
        </w:rPr>
        <w:t>许可专利</w:t>
      </w:r>
      <w:r>
        <w:rPr>
          <w:rFonts w:ascii="宋体" w:hAnsi="宋体"/>
          <w:sz w:val="28"/>
          <w:szCs w:val="28"/>
        </w:rPr>
        <w:t>，应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项的约定处理（单选）：</w:t>
      </w:r>
    </w:p>
    <w:p w14:paraId="322960C0">
      <w:pPr>
        <w:widowControl/>
        <w:adjustRightInd w:val="0"/>
        <w:snapToGrid w:val="0"/>
        <w:spacing w:line="276" w:lineRule="auto"/>
        <w:ind w:left="567"/>
        <w:rPr>
          <w:rFonts w:ascii="宋体" w:hAnsi="宋体"/>
          <w:sz w:val="28"/>
          <w:szCs w:val="28"/>
        </w:rPr>
      </w:pPr>
    </w:p>
    <w:p w14:paraId="2ABFE4F0">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由许可方与侵权方进行交涉，或负责向</w:t>
      </w:r>
      <w:r>
        <w:rPr>
          <w:rFonts w:hint="eastAsia" w:ascii="宋体" w:hAnsi="宋体"/>
          <w:sz w:val="28"/>
          <w:szCs w:val="28"/>
        </w:rPr>
        <w:t>管理专利工作的部门</w:t>
      </w:r>
      <w:r>
        <w:rPr>
          <w:rFonts w:ascii="宋体" w:hAnsi="宋体"/>
          <w:sz w:val="28"/>
          <w:szCs w:val="28"/>
        </w:rPr>
        <w:t>提出请求或向人民法院提起诉讼，被许可方应当予以协助。</w:t>
      </w:r>
    </w:p>
    <w:p w14:paraId="7A4B5A70">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由许可方在其合理确定的期限内，与侵权方进行交涉，或负责向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提出请求或向人民法院提起诉讼。上述期限届满，被许可方有权在许可方合理确定的范围内，与侵权方交涉，或负责向</w:t>
      </w:r>
      <w:r>
        <w:rPr>
          <w:rFonts w:hint="eastAsia" w:ascii="宋体" w:hAnsi="宋体"/>
          <w:sz w:val="28"/>
          <w:szCs w:val="28"/>
        </w:rPr>
        <w:t>管理专利工作的部门</w:t>
      </w:r>
      <w:r>
        <w:rPr>
          <w:rFonts w:ascii="宋体" w:hAnsi="宋体"/>
          <w:sz w:val="28"/>
          <w:szCs w:val="28"/>
        </w:rPr>
        <w:t>提出请求或向人民法院提起诉讼。</w:t>
      </w:r>
    </w:p>
    <w:p w14:paraId="675967AF">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被许可方有权首先在许可方合理确定的范围内，与侵权方进行交涉，或负责向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提出请求或向人民法院提起诉讼，而许可方有权由</w:t>
      </w:r>
      <w:r>
        <w:rPr>
          <w:rFonts w:hint="eastAsia" w:ascii="宋体" w:hAnsi="宋体"/>
          <w:sz w:val="28"/>
          <w:szCs w:val="28"/>
        </w:rPr>
        <w:t>其</w:t>
      </w:r>
      <w:r>
        <w:rPr>
          <w:rFonts w:ascii="宋体" w:hAnsi="宋体"/>
          <w:sz w:val="28"/>
          <w:szCs w:val="28"/>
        </w:rPr>
        <w:t>律师代理其参与该等程序。如果被许可方以书面形式通知许可方其不会提起该等程序，则许可方有权在与被许可方协商后，在其合理确定的范围内，与侵权方进行交涉，或负责向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w:t>
      </w:r>
    </w:p>
    <w:p w14:paraId="6657C6EB">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D228FD6">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8BA171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86915C3">
      <w:pPr>
        <w:widowControl/>
        <w:adjustRightInd w:val="0"/>
        <w:snapToGrid w:val="0"/>
        <w:spacing w:line="276" w:lineRule="auto"/>
        <w:ind w:left="567"/>
        <w:rPr>
          <w:rFonts w:ascii="宋体" w:hAnsi="宋体"/>
          <w:sz w:val="28"/>
          <w:szCs w:val="28"/>
        </w:rPr>
      </w:pPr>
    </w:p>
    <w:p w14:paraId="678EFA16">
      <w:pPr>
        <w:widowControl/>
        <w:adjustRightInd w:val="0"/>
        <w:snapToGrid w:val="0"/>
        <w:spacing w:line="276" w:lineRule="auto"/>
        <w:ind w:left="567"/>
        <w:rPr>
          <w:rFonts w:ascii="宋体" w:hAnsi="宋体"/>
          <w:sz w:val="28"/>
          <w:szCs w:val="28"/>
          <w:u w:val="single"/>
        </w:rPr>
      </w:pPr>
      <w:r>
        <w:rPr>
          <w:rFonts w:ascii="宋体" w:hAnsi="宋体"/>
          <w:sz w:val="28"/>
          <w:szCs w:val="28"/>
        </w:rPr>
        <w:t>维权所得收益由</w:t>
      </w:r>
      <w:r>
        <w:rPr>
          <w:rFonts w:ascii="宋体" w:hAnsi="宋体"/>
          <w:sz w:val="28"/>
          <w:szCs w:val="28"/>
          <w:u w:val="single"/>
        </w:rPr>
        <w:t xml:space="preserve">                                               </w:t>
      </w:r>
    </w:p>
    <w:p w14:paraId="31F13CD1">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享有，所发生的费用由</w:t>
      </w:r>
      <w:r>
        <w:rPr>
          <w:rFonts w:ascii="宋体" w:hAnsi="宋体"/>
          <w:sz w:val="28"/>
          <w:szCs w:val="28"/>
          <w:u w:val="single"/>
        </w:rPr>
        <w:t xml:space="preserve">                                               </w:t>
      </w:r>
    </w:p>
    <w:p w14:paraId="59FD5B03">
      <w:pPr>
        <w:widowControl/>
        <w:adjustRightInd w:val="0"/>
        <w:snapToGrid w:val="0"/>
        <w:spacing w:line="276" w:lineRule="auto"/>
        <w:ind w:left="567"/>
        <w:rPr>
          <w:rFonts w:ascii="宋体" w:hAnsi="宋体"/>
          <w:sz w:val="28"/>
          <w:szCs w:val="28"/>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承担。</w:t>
      </w:r>
    </w:p>
    <w:p w14:paraId="4C7F90D8">
      <w:pPr>
        <w:widowControl/>
        <w:adjustRightInd w:val="0"/>
        <w:snapToGrid w:val="0"/>
        <w:spacing w:line="276" w:lineRule="auto"/>
        <w:ind w:left="567"/>
        <w:rPr>
          <w:rFonts w:ascii="宋体" w:hAnsi="宋体"/>
          <w:sz w:val="28"/>
          <w:szCs w:val="28"/>
        </w:rPr>
      </w:pPr>
    </w:p>
    <w:p w14:paraId="00754F54">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第十一条  </w:t>
      </w:r>
      <w:r>
        <w:rPr>
          <w:rFonts w:ascii="宋体" w:hAnsi="宋体"/>
          <w:b/>
          <w:sz w:val="28"/>
          <w:szCs w:val="28"/>
        </w:rPr>
        <w:t>专利权被宣告无效</w:t>
      </w:r>
      <w:r>
        <w:rPr>
          <w:rFonts w:hint="eastAsia" w:ascii="黑体" w:eastAsia="黑体"/>
          <w:sz w:val="28"/>
        </w:rPr>
        <w:t>（或专利申请被驳回）</w:t>
      </w:r>
      <w:r>
        <w:rPr>
          <w:rFonts w:ascii="宋体" w:hAnsi="宋体"/>
          <w:b/>
          <w:sz w:val="28"/>
          <w:szCs w:val="28"/>
        </w:rPr>
        <w:t>的处理</w:t>
      </w:r>
    </w:p>
    <w:p w14:paraId="06781494">
      <w:pPr>
        <w:widowControl/>
        <w:adjustRightInd w:val="0"/>
        <w:snapToGrid w:val="0"/>
        <w:spacing w:line="276" w:lineRule="auto"/>
        <w:ind w:left="567"/>
        <w:rPr>
          <w:rFonts w:ascii="宋体" w:hAnsi="宋体"/>
          <w:sz w:val="28"/>
          <w:szCs w:val="28"/>
        </w:rPr>
      </w:pPr>
    </w:p>
    <w:p w14:paraId="6A7CB2E8">
      <w:pPr>
        <w:widowControl/>
        <w:numPr>
          <w:ilvl w:val="0"/>
          <w:numId w:val="6"/>
        </w:numPr>
        <w:adjustRightInd w:val="0"/>
        <w:snapToGrid w:val="0"/>
        <w:spacing w:line="276" w:lineRule="auto"/>
        <w:rPr>
          <w:rFonts w:ascii="宋体" w:hAnsi="宋体"/>
          <w:sz w:val="28"/>
          <w:szCs w:val="28"/>
        </w:rPr>
      </w:pPr>
      <w:r>
        <w:rPr>
          <w:rFonts w:hint="eastAsia" w:ascii="宋体" w:hAnsi="宋体"/>
          <w:sz w:val="28"/>
          <w:szCs w:val="28"/>
        </w:rPr>
        <w:t xml:space="preserve"> 若许可专利</w:t>
      </w:r>
      <w:r>
        <w:rPr>
          <w:rFonts w:ascii="宋体" w:hAnsi="宋体"/>
          <w:sz w:val="28"/>
          <w:szCs w:val="28"/>
        </w:rPr>
        <w:t>被</w:t>
      </w:r>
      <w:r>
        <w:rPr>
          <w:rFonts w:hint="eastAsia" w:ascii="宋体" w:hAnsi="宋体"/>
          <w:sz w:val="28"/>
          <w:szCs w:val="28"/>
        </w:rPr>
        <w:t>生效的无效决定</w:t>
      </w:r>
      <w:r>
        <w:rPr>
          <w:rFonts w:ascii="宋体" w:hAnsi="宋体"/>
          <w:sz w:val="28"/>
          <w:szCs w:val="28"/>
        </w:rPr>
        <w:t>宣告</w:t>
      </w:r>
      <w:r>
        <w:rPr>
          <w:rFonts w:hint="eastAsia" w:ascii="宋体" w:hAnsi="宋体"/>
          <w:sz w:val="28"/>
          <w:szCs w:val="28"/>
        </w:rPr>
        <w:t>全部</w:t>
      </w:r>
      <w:r>
        <w:rPr>
          <w:rFonts w:ascii="宋体" w:hAnsi="宋体"/>
          <w:sz w:val="28"/>
          <w:szCs w:val="28"/>
        </w:rPr>
        <w:t>无效，</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项所示规定处理（多选）：</w:t>
      </w:r>
    </w:p>
    <w:p w14:paraId="1B545C9F">
      <w:pPr>
        <w:widowControl/>
        <w:adjustRightInd w:val="0"/>
        <w:snapToGrid w:val="0"/>
        <w:spacing w:line="276" w:lineRule="auto"/>
        <w:ind w:left="567"/>
        <w:rPr>
          <w:rFonts w:ascii="宋体" w:hAnsi="宋体"/>
          <w:sz w:val="28"/>
          <w:szCs w:val="28"/>
        </w:rPr>
      </w:pPr>
    </w:p>
    <w:p w14:paraId="119D4021">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关于无效或诉讼的答辩及费用。</w:t>
      </w:r>
      <w:r>
        <w:rPr>
          <w:rFonts w:hint="eastAsia" w:ascii="宋体" w:hAnsi="宋体"/>
          <w:sz w:val="28"/>
          <w:szCs w:val="28"/>
        </w:rPr>
        <w:t>在许可期限内，</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w:t>
      </w:r>
      <w:r>
        <w:rPr>
          <w:rFonts w:hint="eastAsia" w:ascii="宋体" w:hAnsi="宋体"/>
          <w:sz w:val="28"/>
          <w:szCs w:val="28"/>
        </w:rPr>
        <w:t>许可</w:t>
      </w:r>
      <w:r>
        <w:rPr>
          <w:rFonts w:ascii="宋体" w:hAnsi="宋体"/>
          <w:sz w:val="28"/>
          <w:szCs w:val="28"/>
        </w:rPr>
        <w:t>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由许可方负责答辩，由此发生的费用由许可方单独承担。许可方如对授权权利要求进行删除或合并式修改，应取得被许可方同意</w:t>
      </w:r>
      <w:r>
        <w:rPr>
          <w:rFonts w:ascii="宋体" w:hAnsi="宋体"/>
          <w:sz w:val="28"/>
          <w:szCs w:val="28"/>
        </w:rPr>
        <w:t>。</w:t>
      </w:r>
    </w:p>
    <w:p w14:paraId="30EC0352">
      <w:pPr>
        <w:widowControl/>
        <w:numPr>
          <w:ilvl w:val="255"/>
          <w:numId w:val="0"/>
        </w:numPr>
        <w:adjustRightInd w:val="0"/>
        <w:snapToGrid w:val="0"/>
        <w:spacing w:line="276" w:lineRule="auto"/>
        <w:rPr>
          <w:rFonts w:ascii="宋体" w:hAnsi="宋体"/>
          <w:sz w:val="28"/>
          <w:szCs w:val="28"/>
        </w:rPr>
      </w:pPr>
    </w:p>
    <w:p w14:paraId="2A291E26">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本合同生效后，如无明显违反公平原则，且许可方无恶意给被许可方造成损失，则</w:t>
      </w:r>
      <w:r>
        <w:rPr>
          <w:rFonts w:hint="eastAsia" w:ascii="宋体" w:hAnsi="宋体"/>
          <w:sz w:val="28"/>
          <w:szCs w:val="28"/>
        </w:rPr>
        <w:t>对于专利权无效宣告请求审查决定书载明的决定日前已支付的许可费，</w:t>
      </w:r>
      <w:r>
        <w:rPr>
          <w:rFonts w:ascii="宋体" w:hAnsi="宋体"/>
          <w:sz w:val="28"/>
          <w:szCs w:val="28"/>
        </w:rPr>
        <w:t>许可方无需向被许可方返还</w:t>
      </w:r>
      <w:r>
        <w:rPr>
          <w:rFonts w:hint="eastAsia" w:ascii="宋体" w:hAnsi="宋体"/>
          <w:sz w:val="28"/>
          <w:szCs w:val="28"/>
        </w:rPr>
        <w:t>；否则，许可方应返还被许可方已支付的许可费</w:t>
      </w:r>
      <w:r>
        <w:rPr>
          <w:rFonts w:ascii="宋体" w:hAnsi="宋体"/>
          <w:sz w:val="28"/>
          <w:szCs w:val="28"/>
        </w:rPr>
        <w:t>。</w:t>
      </w:r>
    </w:p>
    <w:p w14:paraId="3CB711F2">
      <w:pPr>
        <w:widowControl/>
        <w:numPr>
          <w:ilvl w:val="255"/>
          <w:numId w:val="0"/>
        </w:numPr>
        <w:adjustRightInd w:val="0"/>
        <w:snapToGrid w:val="0"/>
        <w:spacing w:line="276" w:lineRule="auto"/>
        <w:ind w:left="-351" w:leftChars="-167"/>
        <w:rPr>
          <w:rFonts w:ascii="宋体" w:hAnsi="宋体"/>
          <w:sz w:val="28"/>
          <w:szCs w:val="28"/>
        </w:rPr>
      </w:pPr>
    </w:p>
    <w:p w14:paraId="4731429D">
      <w:pPr>
        <w:widowControl/>
        <w:numPr>
          <w:ilvl w:val="255"/>
          <w:numId w:val="0"/>
        </w:numPr>
        <w:adjustRightInd w:val="0"/>
        <w:snapToGrid w:val="0"/>
        <w:spacing w:line="276" w:lineRule="auto"/>
        <w:ind w:left="1119" w:leftChars="133" w:hanging="840" w:hangingChars="300"/>
        <w:rPr>
          <w:rFonts w:ascii="宋体" w:hAnsi="宋体"/>
          <w:sz w:val="28"/>
          <w:szCs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在已被宣告无效的许可专利被重新判定为有效前</w:t>
      </w:r>
      <w:r>
        <w:rPr>
          <w:rFonts w:hint="eastAsia" w:ascii="宋体" w:hAnsi="宋体"/>
          <w:b/>
          <w:bCs/>
          <w:sz w:val="28"/>
          <w:szCs w:val="28"/>
        </w:rPr>
        <w:t>，</w:t>
      </w:r>
      <w:r>
        <w:rPr>
          <w:rFonts w:hint="eastAsia" w:ascii="宋体"/>
          <w:sz w:val="28"/>
        </w:rPr>
        <w:t>本合同停止履行，被许可方停止支付费用。</w:t>
      </w:r>
    </w:p>
    <w:p w14:paraId="7994FBFF">
      <w:pPr>
        <w:widowControl/>
        <w:numPr>
          <w:ilvl w:val="255"/>
          <w:numId w:val="0"/>
        </w:numPr>
        <w:adjustRightInd w:val="0"/>
        <w:snapToGrid w:val="0"/>
        <w:spacing w:line="276" w:lineRule="auto"/>
        <w:rPr>
          <w:rFonts w:ascii="宋体" w:hAnsi="宋体"/>
          <w:sz w:val="28"/>
          <w:szCs w:val="28"/>
          <w:u w:val="single"/>
        </w:rPr>
      </w:pPr>
    </w:p>
    <w:p w14:paraId="5E12C460">
      <w:pPr>
        <w:widowControl/>
        <w:numPr>
          <w:ilvl w:val="255"/>
          <w:numId w:val="0"/>
        </w:numPr>
        <w:adjustRightInd w:val="0"/>
        <w:snapToGrid w:val="0"/>
        <w:spacing w:line="276" w:lineRule="auto"/>
        <w:ind w:firstLine="280" w:firstLineChars="1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14:paraId="66A9D898">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F00B9F2">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5B184EE">
      <w:pPr>
        <w:widowControl/>
        <w:adjustRightInd w:val="0"/>
        <w:snapToGrid w:val="0"/>
        <w:spacing w:line="276" w:lineRule="auto"/>
        <w:ind w:left="1276"/>
        <w:rPr>
          <w:rFonts w:ascii="宋体" w:hAnsi="宋体"/>
          <w:sz w:val="28"/>
          <w:szCs w:val="28"/>
          <w:u w:val="single"/>
        </w:rPr>
      </w:pPr>
    </w:p>
    <w:p w14:paraId="28CA85E3">
      <w:pPr>
        <w:pStyle w:val="17"/>
        <w:widowControl/>
        <w:numPr>
          <w:ilvl w:val="0"/>
          <w:numId w:val="6"/>
        </w:numPr>
        <w:adjustRightInd w:val="0"/>
        <w:snapToGrid w:val="0"/>
        <w:spacing w:line="276" w:lineRule="auto"/>
        <w:ind w:firstLine="0" w:firstLineChars="0"/>
        <w:outlineLvl w:val="1"/>
        <w:rPr>
          <w:rFonts w:ascii="宋体" w:hAnsi="宋体"/>
          <w:sz w:val="28"/>
          <w:szCs w:val="28"/>
        </w:rPr>
      </w:pPr>
      <w:r>
        <w:rPr>
          <w:rFonts w:hint="eastAsia" w:ascii="宋体" w:hAnsi="宋体"/>
          <w:sz w:val="28"/>
          <w:szCs w:val="28"/>
        </w:rPr>
        <w:t xml:space="preserve"> 若对专利申请实施许可，且该专利申请被视为撤回或驳回，双方同意按   </w:t>
      </w:r>
    </w:p>
    <w:p w14:paraId="1900E012">
      <w:pPr>
        <w:pStyle w:val="17"/>
        <w:widowControl/>
        <w:adjustRightInd w:val="0"/>
        <w:snapToGrid w:val="0"/>
        <w:spacing w:line="276" w:lineRule="auto"/>
        <w:ind w:firstLine="560"/>
        <w:rPr>
          <w:rFonts w:ascii="宋体" w:hAnsi="宋体"/>
          <w:sz w:val="28"/>
          <w:szCs w:val="28"/>
        </w:rPr>
      </w:pPr>
      <w:r>
        <w:rPr>
          <w:rFonts w:hint="eastAsia" w:ascii="宋体" w:hAnsi="宋体"/>
          <w:sz w:val="28"/>
          <w:szCs w:val="28"/>
        </w:rPr>
        <w:t>照以下第____项所示规定处理（多选）：</w:t>
      </w:r>
    </w:p>
    <w:p w14:paraId="02446062">
      <w:pPr>
        <w:pStyle w:val="17"/>
        <w:widowControl/>
        <w:numPr>
          <w:ilvl w:val="255"/>
          <w:numId w:val="0"/>
        </w:numPr>
        <w:adjustRightInd w:val="0"/>
        <w:snapToGrid w:val="0"/>
        <w:spacing w:line="276" w:lineRule="auto"/>
        <w:ind w:firstLine="420" w:firstLineChars="200"/>
        <w:rPr>
          <w:rStyle w:val="14"/>
        </w:rPr>
      </w:pPr>
    </w:p>
    <w:p w14:paraId="03B6A015">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sz w:val="28"/>
          <w:szCs w:val="28"/>
        </w:rPr>
        <w:t>关于对视为撤回的答辩或对驳回的复审请求及费用。</w:t>
      </w:r>
      <w:r>
        <w:rPr>
          <w:rFonts w:hint="eastAsia" w:ascii="宋体" w:hAnsi="宋体"/>
          <w:sz w:val="28"/>
          <w:szCs w:val="28"/>
        </w:rPr>
        <w:t>在许可期限内，视为撤回通知书或驳回决定由许可方负责答辩，由此发生的费用，包括官费和中介机构服务费，由许可方单独承担；对于许可方在合理范围内要求被许可方提供的协助，被许可方应当予以配合</w:t>
      </w:r>
      <w:r>
        <w:rPr>
          <w:rFonts w:ascii="宋体" w:hAnsi="宋体"/>
          <w:sz w:val="28"/>
          <w:szCs w:val="28"/>
        </w:rPr>
        <w:t>。</w:t>
      </w:r>
    </w:p>
    <w:p w14:paraId="4F2F0ACB">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14:paraId="2A2EE97E">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w:t>
      </w:r>
      <w:r>
        <w:rPr>
          <w:rFonts w:hint="eastAsia" w:ascii="宋体" w:hAnsi="宋体"/>
          <w:sz w:val="28"/>
          <w:szCs w:val="28"/>
        </w:rPr>
        <w:t>许可</w:t>
      </w:r>
      <w:r>
        <w:rPr>
          <w:rFonts w:ascii="宋体" w:hAnsi="宋体"/>
          <w:sz w:val="28"/>
          <w:szCs w:val="28"/>
        </w:rPr>
        <w:t>方无恶意给</w:t>
      </w:r>
      <w:r>
        <w:rPr>
          <w:rFonts w:hint="eastAsia" w:ascii="宋体" w:hAnsi="宋体"/>
          <w:sz w:val="28"/>
          <w:szCs w:val="28"/>
        </w:rPr>
        <w:t>被许可</w:t>
      </w:r>
      <w:r>
        <w:rPr>
          <w:rFonts w:ascii="宋体" w:hAnsi="宋体"/>
          <w:sz w:val="28"/>
          <w:szCs w:val="28"/>
        </w:rPr>
        <w:t>方造成损失的，</w:t>
      </w:r>
      <w:r>
        <w:rPr>
          <w:rFonts w:hint="eastAsia" w:ascii="宋体" w:hAnsi="宋体"/>
          <w:sz w:val="28"/>
          <w:szCs w:val="28"/>
        </w:rPr>
        <w:t>视为撤回通知书或驳回决定载明的日期前被许可方已支付的许可费，许可</w:t>
      </w:r>
      <w:r>
        <w:rPr>
          <w:rFonts w:ascii="宋体" w:hAnsi="宋体"/>
          <w:sz w:val="28"/>
          <w:szCs w:val="28"/>
        </w:rPr>
        <w:t>方不向</w:t>
      </w:r>
      <w:r>
        <w:rPr>
          <w:rFonts w:hint="eastAsia" w:ascii="宋体" w:hAnsi="宋体"/>
          <w:sz w:val="28"/>
          <w:szCs w:val="28"/>
        </w:rPr>
        <w:t>被许可</w:t>
      </w:r>
      <w:r>
        <w:rPr>
          <w:rFonts w:ascii="宋体" w:hAnsi="宋体"/>
          <w:sz w:val="28"/>
          <w:szCs w:val="28"/>
        </w:rPr>
        <w:t>方返还</w:t>
      </w:r>
      <w:r>
        <w:rPr>
          <w:rFonts w:hint="eastAsia" w:ascii="宋体" w:hAnsi="宋体"/>
          <w:sz w:val="28"/>
          <w:szCs w:val="28"/>
        </w:rPr>
        <w:t>；</w:t>
      </w:r>
      <w:r>
        <w:rPr>
          <w:rFonts w:ascii="宋体" w:hAnsi="宋体"/>
          <w:sz w:val="28"/>
          <w:szCs w:val="28"/>
        </w:rPr>
        <w:t>否则</w:t>
      </w:r>
      <w:r>
        <w:rPr>
          <w:rFonts w:hint="eastAsia" w:ascii="宋体" w:hAnsi="宋体"/>
          <w:sz w:val="28"/>
          <w:szCs w:val="28"/>
        </w:rPr>
        <w:t>，许可</w:t>
      </w:r>
      <w:r>
        <w:rPr>
          <w:rFonts w:ascii="宋体" w:hAnsi="宋体"/>
          <w:sz w:val="28"/>
          <w:szCs w:val="28"/>
        </w:rPr>
        <w:t>方应返还</w:t>
      </w:r>
      <w:r>
        <w:rPr>
          <w:rFonts w:hint="eastAsia" w:ascii="宋体" w:hAnsi="宋体"/>
          <w:sz w:val="28"/>
          <w:szCs w:val="28"/>
        </w:rPr>
        <w:t>被许可方</w:t>
      </w:r>
      <w:r>
        <w:rPr>
          <w:rFonts w:ascii="宋体" w:hAnsi="宋体"/>
          <w:sz w:val="28"/>
          <w:szCs w:val="28"/>
        </w:rPr>
        <w:t>已支付的</w:t>
      </w:r>
      <w:r>
        <w:rPr>
          <w:rFonts w:hint="eastAsia" w:ascii="宋体" w:hAnsi="宋体"/>
          <w:sz w:val="28"/>
          <w:szCs w:val="28"/>
        </w:rPr>
        <w:t>许可</w:t>
      </w:r>
      <w:r>
        <w:rPr>
          <w:rFonts w:ascii="宋体" w:hAnsi="宋体"/>
          <w:sz w:val="28"/>
          <w:szCs w:val="28"/>
        </w:rPr>
        <w:t>费。</w:t>
      </w:r>
    </w:p>
    <w:p w14:paraId="3C645BAD">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14:paraId="26973754">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关于合同的履行。</w:t>
      </w:r>
      <w:r>
        <w:rPr>
          <w:rFonts w:hint="eastAsia" w:ascii="宋体" w:hAnsi="宋体"/>
          <w:sz w:val="28"/>
          <w:szCs w:val="28"/>
        </w:rPr>
        <w:t>在该许可专利申请被授予专利权前</w:t>
      </w:r>
      <w:r>
        <w:rPr>
          <w:rFonts w:hint="eastAsia" w:ascii="宋体" w:hAnsi="宋体"/>
          <w:b/>
          <w:bCs/>
          <w:sz w:val="28"/>
          <w:szCs w:val="28"/>
        </w:rPr>
        <w:t>，</w:t>
      </w:r>
      <w:r>
        <w:rPr>
          <w:rFonts w:hint="eastAsia" w:ascii="宋体"/>
          <w:sz w:val="28"/>
        </w:rPr>
        <w:t>本合同停止履行，被许可方停止支付费用。</w:t>
      </w:r>
    </w:p>
    <w:p w14:paraId="254003AA">
      <w:pPr>
        <w:widowControl/>
        <w:adjustRightInd w:val="0"/>
        <w:snapToGrid w:val="0"/>
        <w:spacing w:line="276" w:lineRule="auto"/>
        <w:rPr>
          <w:rFonts w:ascii="宋体" w:hAnsi="宋体"/>
          <w:sz w:val="28"/>
          <w:szCs w:val="28"/>
          <w:u w:val="single"/>
        </w:rPr>
      </w:pPr>
    </w:p>
    <w:p w14:paraId="2DF09388">
      <w:pPr>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14:paraId="411135BD">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E7CA912">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65A1699">
      <w:pPr>
        <w:widowControl/>
        <w:adjustRightInd w:val="0"/>
        <w:snapToGrid w:val="0"/>
        <w:spacing w:line="276" w:lineRule="auto"/>
        <w:ind w:left="567"/>
        <w:rPr>
          <w:rFonts w:ascii="宋体" w:hAnsi="宋体"/>
          <w:sz w:val="28"/>
          <w:szCs w:val="28"/>
        </w:rPr>
      </w:pPr>
    </w:p>
    <w:p w14:paraId="23BE322F">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不可抗力</w:t>
      </w:r>
    </w:p>
    <w:p w14:paraId="485F3D22">
      <w:pPr>
        <w:widowControl/>
        <w:adjustRightInd w:val="0"/>
        <w:snapToGrid w:val="0"/>
        <w:spacing w:line="276" w:lineRule="auto"/>
        <w:ind w:left="567"/>
        <w:rPr>
          <w:rFonts w:ascii="宋体" w:hAnsi="宋体"/>
          <w:sz w:val="28"/>
          <w:szCs w:val="28"/>
        </w:rPr>
      </w:pPr>
    </w:p>
    <w:p w14:paraId="566F39B2">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14:paraId="168AF0A3">
      <w:pPr>
        <w:widowControl/>
        <w:adjustRightInd w:val="0"/>
        <w:snapToGrid w:val="0"/>
        <w:spacing w:line="276" w:lineRule="auto"/>
        <w:ind w:left="567"/>
        <w:rPr>
          <w:rFonts w:ascii="宋体" w:hAnsi="宋体"/>
          <w:sz w:val="28"/>
          <w:szCs w:val="28"/>
        </w:rPr>
      </w:pPr>
    </w:p>
    <w:p w14:paraId="46E1529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14:paraId="3DA4F91E">
      <w:pPr>
        <w:widowControl/>
        <w:adjustRightInd w:val="0"/>
        <w:snapToGrid w:val="0"/>
        <w:spacing w:line="276" w:lineRule="auto"/>
        <w:ind w:left="567"/>
        <w:rPr>
          <w:rFonts w:ascii="宋体" w:hAnsi="宋体"/>
          <w:sz w:val="28"/>
          <w:szCs w:val="28"/>
        </w:rPr>
      </w:pPr>
    </w:p>
    <w:p w14:paraId="4316A002">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14:paraId="471C0BEB">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14:paraId="022DF2E6">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w:t>
      </w:r>
      <w:r>
        <w:rPr>
          <w:rFonts w:hint="eastAsia" w:ascii="宋体" w:hAnsi="宋体"/>
          <w:sz w:val="28"/>
          <w:szCs w:val="28"/>
        </w:rPr>
        <w:t>，</w:t>
      </w:r>
      <w:r>
        <w:rPr>
          <w:rFonts w:ascii="宋体" w:hAnsi="宋体"/>
          <w:sz w:val="28"/>
          <w:szCs w:val="28"/>
        </w:rPr>
        <w:t>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14:paraId="0FCD1A5B">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14:paraId="3006856D">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522F51F">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62F497B">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AB06044">
      <w:pPr>
        <w:widowControl/>
        <w:adjustRightInd w:val="0"/>
        <w:snapToGrid w:val="0"/>
        <w:spacing w:line="276" w:lineRule="auto"/>
        <w:ind w:left="567"/>
        <w:rPr>
          <w:rFonts w:ascii="宋体" w:hAnsi="宋体"/>
          <w:sz w:val="28"/>
          <w:szCs w:val="28"/>
        </w:rPr>
      </w:pPr>
    </w:p>
    <w:p w14:paraId="786AB944">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第十三条  送达</w:t>
      </w:r>
    </w:p>
    <w:p w14:paraId="7F508B89">
      <w:pPr>
        <w:widowControl/>
        <w:adjustRightInd w:val="0"/>
        <w:snapToGrid w:val="0"/>
        <w:spacing w:line="276" w:lineRule="auto"/>
        <w:ind w:left="567"/>
        <w:rPr>
          <w:rFonts w:ascii="宋体" w:hAnsi="宋体"/>
          <w:sz w:val="28"/>
          <w:szCs w:val="28"/>
        </w:rPr>
      </w:pPr>
    </w:p>
    <w:p w14:paraId="03D63B4C">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14:paraId="1BCCB922">
      <w:pPr>
        <w:widowControl/>
        <w:adjustRightInd w:val="0"/>
        <w:snapToGrid w:val="0"/>
        <w:spacing w:line="276" w:lineRule="auto"/>
        <w:ind w:left="567"/>
        <w:rPr>
          <w:rFonts w:ascii="宋体" w:hAnsi="宋体"/>
          <w:sz w:val="28"/>
          <w:szCs w:val="28"/>
        </w:rPr>
      </w:pPr>
    </w:p>
    <w:p w14:paraId="086BF3EB">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第十四条  </w:t>
      </w:r>
      <w:r>
        <w:rPr>
          <w:rFonts w:ascii="宋体" w:hAnsi="宋体"/>
          <w:b/>
          <w:sz w:val="28"/>
          <w:szCs w:val="28"/>
        </w:rPr>
        <w:t>违约与损害赔偿</w:t>
      </w:r>
    </w:p>
    <w:p w14:paraId="3D852ED5">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许可方未按照本合同第四条和第五条的约定向被许可方交付资料和/或提供技术服务与培训，导致被许可方无法实施许可专利，应当赔偿被许可方因此遭受的损失，</w:t>
      </w:r>
      <w:r>
        <w:rPr>
          <w:rFonts w:ascii="宋体" w:hAnsi="宋体"/>
          <w:sz w:val="28"/>
          <w:szCs w:val="28"/>
        </w:rPr>
        <w:t>包括</w:t>
      </w:r>
      <w:r>
        <w:rPr>
          <w:rFonts w:hint="eastAsia" w:ascii="宋体" w:hAnsi="宋体"/>
          <w:sz w:val="28"/>
          <w:szCs w:val="28"/>
        </w:rPr>
        <w:t>被许可方实施许可专利</w:t>
      </w:r>
      <w:r>
        <w:rPr>
          <w:rFonts w:ascii="宋体" w:hAnsi="宋体"/>
          <w:sz w:val="28"/>
          <w:szCs w:val="28"/>
        </w:rPr>
        <w:t>可获得的利益</w:t>
      </w:r>
      <w:r>
        <w:rPr>
          <w:rFonts w:hint="eastAsia" w:ascii="宋体" w:hAnsi="宋体"/>
          <w:sz w:val="28"/>
          <w:szCs w:val="28"/>
        </w:rPr>
        <w:t>。</w:t>
      </w:r>
    </w:p>
    <w:p w14:paraId="273317B0">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许可方在许可期限期内未维持许可专利有效，导致许可专利全部失去效力，被许可方有权解除合同，并要求许可方返还全部许可费，同时支付被许可方违约金_______（人民币/美元/</w:t>
      </w:r>
      <w:r>
        <w:rPr>
          <w:rFonts w:ascii="宋体" w:hAnsi="宋体"/>
          <w:sz w:val="28"/>
          <w:szCs w:val="28"/>
        </w:rPr>
        <w:t>……</w:t>
      </w:r>
      <w:r>
        <w:rPr>
          <w:rFonts w:hint="eastAsia" w:ascii="宋体" w:hAnsi="宋体"/>
          <w:sz w:val="28"/>
          <w:szCs w:val="28"/>
        </w:rPr>
        <w:t>）。</w:t>
      </w:r>
    </w:p>
    <w:p w14:paraId="1E29EBF3">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在排他实施许可中，许可方许可被许可方以外的第三方实施本合同项下的许可专利的；或在独占实施许可中，许可方自己实施或许可被许可方以外的第三方实施本合同项下的许可专利的，被许可方有权解除合同，并要求许可方返还全部许可费，同时赔偿被许可方因此遭受的损失。</w:t>
      </w:r>
    </w:p>
    <w:p w14:paraId="77BD03D9">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被许可方未按照本合同约定足额按时支付许可费，应当补交许可费，并按照日息</w:t>
      </w:r>
      <w:r>
        <w:rPr>
          <w:rFonts w:ascii="宋体" w:hAnsi="宋体"/>
          <w:sz w:val="28"/>
          <w:szCs w:val="28"/>
        </w:rPr>
        <w:t>____</w:t>
      </w:r>
      <w:r>
        <w:rPr>
          <w:rFonts w:hint="eastAsia" w:ascii="宋体" w:hAnsi="宋体"/>
          <w:sz w:val="28"/>
          <w:szCs w:val="28"/>
        </w:rPr>
        <w:t>和逾期天数支付许可方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14:paraId="57038DD7">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被许可方违反合同的保密条款，致使许可方的保密信息泄露，应当赔偿许可方因此遭受的损失。</w:t>
      </w:r>
    </w:p>
    <w:p w14:paraId="318C6AC6">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任何一方未能履行其在本合同项下的其他义务，应当对守约方因此遭受的损失承担相应责任。</w:t>
      </w:r>
    </w:p>
    <w:p w14:paraId="74D9E610">
      <w:pPr>
        <w:widowControl/>
        <w:adjustRightInd w:val="0"/>
        <w:snapToGrid w:val="0"/>
        <w:spacing w:line="276" w:lineRule="auto"/>
        <w:ind w:left="567"/>
        <w:rPr>
          <w:rFonts w:ascii="宋体" w:hAnsi="宋体"/>
          <w:sz w:val="28"/>
          <w:szCs w:val="28"/>
        </w:rPr>
      </w:pPr>
    </w:p>
    <w:p w14:paraId="6D5767DC">
      <w:pPr>
        <w:widowControl/>
        <w:adjustRightInd w:val="0"/>
        <w:snapToGrid w:val="0"/>
        <w:spacing w:line="276" w:lineRule="auto"/>
        <w:ind w:left="567"/>
        <w:rPr>
          <w:rFonts w:ascii="宋体" w:hAnsi="宋体"/>
          <w:sz w:val="28"/>
          <w:szCs w:val="28"/>
        </w:rPr>
      </w:pPr>
    </w:p>
    <w:p w14:paraId="4EDDDD74">
      <w:pPr>
        <w:widowControl/>
        <w:tabs>
          <w:tab w:val="left" w:pos="1418"/>
        </w:tabs>
        <w:adjustRightInd w:val="0"/>
        <w:snapToGrid w:val="0"/>
        <w:spacing w:line="276" w:lineRule="auto"/>
        <w:ind w:left="425" w:hanging="425"/>
        <w:outlineLvl w:val="0"/>
        <w:rPr>
          <w:rFonts w:ascii="宋体" w:hAnsi="宋体"/>
          <w:b/>
          <w:sz w:val="28"/>
          <w:szCs w:val="28"/>
        </w:rPr>
      </w:pPr>
      <w:bookmarkStart w:id="0" w:name="_Hlk100867170"/>
      <w:r>
        <w:rPr>
          <w:rFonts w:hint="eastAsia" w:ascii="宋体" w:hAnsi="宋体"/>
          <w:b/>
          <w:sz w:val="28"/>
          <w:szCs w:val="28"/>
        </w:rPr>
        <w:t>第十五条  税费</w:t>
      </w:r>
    </w:p>
    <w:p w14:paraId="01FFE8BE">
      <w:pPr>
        <w:widowControl/>
        <w:adjustRightInd w:val="0"/>
        <w:snapToGrid w:val="0"/>
        <w:spacing w:line="276" w:lineRule="auto"/>
        <w:ind w:left="567"/>
        <w:rPr>
          <w:rFonts w:ascii="宋体" w:hAnsi="宋体"/>
          <w:sz w:val="28"/>
          <w:szCs w:val="28"/>
        </w:rPr>
      </w:pPr>
    </w:p>
    <w:p w14:paraId="11872A96">
      <w:pPr>
        <w:widowControl/>
        <w:adjustRightInd w:val="0"/>
        <w:snapToGrid w:val="0"/>
        <w:spacing w:line="276" w:lineRule="auto"/>
        <w:ind w:left="567"/>
        <w:rPr>
          <w:rFonts w:ascii="宋体" w:hAnsi="宋体"/>
          <w:sz w:val="28"/>
          <w:szCs w:val="28"/>
        </w:rPr>
      </w:pPr>
      <w:r>
        <w:rPr>
          <w:rFonts w:hint="eastAsia" w:ascii="宋体" w:hAnsi="宋体"/>
          <w:sz w:val="28"/>
          <w:szCs w:val="28"/>
        </w:rPr>
        <w:t>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14:paraId="173B52C7">
      <w:pPr>
        <w:widowControl/>
        <w:adjustRightInd w:val="0"/>
        <w:snapToGrid w:val="0"/>
        <w:spacing w:line="276" w:lineRule="auto"/>
        <w:ind w:left="567"/>
        <w:rPr>
          <w:rFonts w:ascii="宋体" w:hAnsi="宋体"/>
          <w:sz w:val="28"/>
          <w:szCs w:val="28"/>
        </w:rPr>
      </w:pPr>
    </w:p>
    <w:p w14:paraId="68BF1584">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许可方/被许可方/双方各自/……</w:t>
      </w:r>
      <w:r>
        <w:rPr>
          <w:rFonts w:ascii="宋体" w:hAnsi="宋体"/>
          <w:sz w:val="28"/>
          <w:szCs w:val="28"/>
        </w:rPr>
        <w:t>）</w:t>
      </w:r>
      <w:r>
        <w:rPr>
          <w:rFonts w:hint="eastAsia" w:ascii="宋体" w:hAnsi="宋体"/>
          <w:sz w:val="28"/>
          <w:szCs w:val="28"/>
        </w:rPr>
        <w:t>承担。</w:t>
      </w:r>
    </w:p>
    <w:p w14:paraId="45D06CD7">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双方应当按照法律的规定，各自独立承担法律对其所规定的各项纳税义务。</w:t>
      </w:r>
    </w:p>
    <w:p w14:paraId="2E008E0C">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F073422">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6B1702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C698F9A">
      <w:pPr>
        <w:widowControl/>
        <w:adjustRightInd w:val="0"/>
        <w:snapToGrid w:val="0"/>
        <w:spacing w:line="276" w:lineRule="auto"/>
        <w:ind w:left="567"/>
        <w:rPr>
          <w:rFonts w:ascii="宋体" w:hAnsi="宋体"/>
          <w:sz w:val="28"/>
          <w:szCs w:val="28"/>
        </w:rPr>
      </w:pPr>
    </w:p>
    <w:bookmarkEnd w:id="0"/>
    <w:p w14:paraId="7649F016">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第十六条  </w:t>
      </w:r>
      <w:r>
        <w:rPr>
          <w:rFonts w:ascii="宋体" w:hAnsi="宋体"/>
          <w:b/>
          <w:sz w:val="28"/>
          <w:szCs w:val="28"/>
        </w:rPr>
        <w:t>争议解决</w:t>
      </w:r>
    </w:p>
    <w:p w14:paraId="2B1F53C9">
      <w:pPr>
        <w:widowControl/>
        <w:adjustRightInd w:val="0"/>
        <w:snapToGrid w:val="0"/>
        <w:spacing w:line="276" w:lineRule="auto"/>
        <w:ind w:left="567"/>
        <w:rPr>
          <w:rFonts w:ascii="宋体" w:hAnsi="宋体"/>
          <w:sz w:val="28"/>
          <w:szCs w:val="28"/>
        </w:rPr>
      </w:pPr>
    </w:p>
    <w:p w14:paraId="21332CA6">
      <w:pPr>
        <w:widowControl/>
        <w:numPr>
          <w:ilvl w:val="1"/>
          <w:numId w:val="0"/>
        </w:numPr>
        <w:adjustRightInd w:val="0"/>
        <w:snapToGrid w:val="0"/>
        <w:spacing w:line="276" w:lineRule="auto"/>
        <w:ind w:left="567" w:hanging="567"/>
        <w:rPr>
          <w:rFonts w:ascii="宋体" w:hAnsi="宋体"/>
          <w:sz w:val="28"/>
          <w:szCs w:val="28"/>
        </w:rPr>
      </w:pPr>
      <w:bookmarkStart w:id="1" w:name="_Hlk100867221"/>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bookmarkEnd w:id="1"/>
    <w:p w14:paraId="457748C1">
      <w:pPr>
        <w:widowControl/>
        <w:adjustRightInd w:val="0"/>
        <w:snapToGrid w:val="0"/>
        <w:spacing w:line="276" w:lineRule="auto"/>
        <w:ind w:left="567"/>
        <w:rPr>
          <w:rFonts w:ascii="宋体" w:hAnsi="宋体"/>
          <w:sz w:val="28"/>
          <w:szCs w:val="28"/>
        </w:rPr>
      </w:pPr>
    </w:p>
    <w:p w14:paraId="0622E3D9">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(1)本合同适用中华人民共和国法律。</w:t>
      </w:r>
    </w:p>
    <w:p w14:paraId="31BA4BA4">
      <w:pPr>
        <w:widowControl/>
        <w:numPr>
          <w:ilvl w:val="2"/>
          <w:numId w:val="0"/>
        </w:numPr>
        <w:adjustRightInd w:val="0"/>
        <w:snapToGrid w:val="0"/>
        <w:spacing w:line="276" w:lineRule="auto"/>
        <w:ind w:left="1276" w:hanging="709"/>
        <w:rPr>
          <w:rFonts w:ascii="宋体" w:hAnsi="宋体"/>
          <w:sz w:val="28"/>
          <w:szCs w:val="28"/>
        </w:rPr>
      </w:pPr>
      <w:bookmarkStart w:id="2" w:name="_Hlk100867242"/>
      <w:r>
        <w:rPr>
          <w:rFonts w:ascii="宋体" w:hAnsi="宋体"/>
          <w:sz w:val="28"/>
          <w:szCs w:val="28"/>
        </w:rPr>
        <w:t>(2)</w:t>
      </w:r>
      <w:r>
        <w:rPr>
          <w:rFonts w:hint="eastAsia" w:ascii="宋体" w:hAnsi="宋体"/>
          <w:sz w:val="28"/>
          <w:szCs w:val="28"/>
        </w:rPr>
        <w:t>本合同属于涉外专利实施许可合同，双方同意适用</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地区（本合同履行地/本合同签署地/某个中立国家或地区的法律/双方所在地法律……）法律。</w:t>
      </w:r>
    </w:p>
    <w:bookmarkEnd w:id="2"/>
    <w:p w14:paraId="04429075">
      <w:pPr>
        <w:widowControl/>
        <w:adjustRightInd w:val="0"/>
        <w:snapToGrid w:val="0"/>
        <w:spacing w:line="276" w:lineRule="auto"/>
        <w:ind w:left="1276"/>
        <w:rPr>
          <w:rFonts w:ascii="宋体" w:hAnsi="宋体"/>
          <w:sz w:val="28"/>
          <w:szCs w:val="28"/>
        </w:rPr>
      </w:pPr>
    </w:p>
    <w:p w14:paraId="1269F3A3">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14:paraId="6A95A163">
      <w:pPr>
        <w:widowControl/>
        <w:adjustRightInd w:val="0"/>
        <w:snapToGrid w:val="0"/>
        <w:spacing w:line="276" w:lineRule="auto"/>
        <w:ind w:left="567"/>
        <w:rPr>
          <w:rFonts w:ascii="宋体" w:hAnsi="宋体"/>
          <w:sz w:val="28"/>
          <w:szCs w:val="28"/>
        </w:rPr>
      </w:pPr>
    </w:p>
    <w:p w14:paraId="1B61DFEA">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许可方所在地</w:t>
      </w:r>
      <w:r>
        <w:rPr>
          <w:rFonts w:hint="eastAsia" w:ascii="宋体" w:hAnsi="宋体"/>
          <w:sz w:val="28"/>
          <w:szCs w:val="28"/>
        </w:rPr>
        <w:t>/</w:t>
      </w:r>
      <w:r>
        <w:rPr>
          <w:rFonts w:ascii="宋体" w:hAnsi="宋体"/>
          <w:sz w:val="28"/>
          <w:szCs w:val="28"/>
        </w:rPr>
        <w:t>被许可方所在地</w:t>
      </w:r>
      <w:r>
        <w:rPr>
          <w:rFonts w:hint="eastAsia" w:ascii="宋体" w:hAnsi="宋体"/>
          <w:sz w:val="28"/>
          <w:szCs w:val="28"/>
        </w:rPr>
        <w:t>/本合同签署地/本合同履行地……）具有管辖权的</w:t>
      </w:r>
      <w:r>
        <w:rPr>
          <w:rFonts w:ascii="宋体" w:hAnsi="宋体"/>
          <w:sz w:val="28"/>
          <w:szCs w:val="28"/>
        </w:rPr>
        <w:t>人民法院提起诉讼；</w:t>
      </w:r>
    </w:p>
    <w:p w14:paraId="28BB0D37">
      <w:pPr>
        <w:widowControl/>
        <w:numPr>
          <w:ilvl w:val="2"/>
          <w:numId w:val="0"/>
        </w:numPr>
        <w:adjustRightInd w:val="0"/>
        <w:snapToGrid w:val="0"/>
        <w:spacing w:line="276" w:lineRule="auto"/>
        <w:ind w:left="1276" w:hanging="709"/>
        <w:outlineLvl w:val="1"/>
        <w:rPr>
          <w:rFonts w:ascii="宋体" w:hAnsi="宋体"/>
          <w:sz w:val="28"/>
          <w:szCs w:val="28"/>
        </w:rPr>
      </w:pPr>
      <w:r>
        <w:rPr>
          <w:rFonts w:ascii="宋体" w:hAnsi="宋体"/>
          <w:sz w:val="28"/>
          <w:szCs w:val="28"/>
        </w:rPr>
        <w:t>(2)提请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14:paraId="1C2D5630">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F30D674">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BBA41F3">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56EF7A5">
      <w:pPr>
        <w:widowControl/>
        <w:adjustRightInd w:val="0"/>
        <w:snapToGrid w:val="0"/>
        <w:spacing w:line="276" w:lineRule="auto"/>
        <w:ind w:left="567"/>
        <w:rPr>
          <w:rFonts w:ascii="宋体" w:hAnsi="宋体"/>
          <w:sz w:val="28"/>
          <w:szCs w:val="28"/>
        </w:rPr>
      </w:pPr>
    </w:p>
    <w:p w14:paraId="5AD18EA3">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合同的生效、变更与终止</w:t>
      </w:r>
    </w:p>
    <w:p w14:paraId="5956E171">
      <w:pPr>
        <w:widowControl/>
        <w:adjustRightInd w:val="0"/>
        <w:snapToGrid w:val="0"/>
        <w:spacing w:line="276" w:lineRule="auto"/>
        <w:ind w:left="567"/>
        <w:rPr>
          <w:rFonts w:ascii="宋体" w:hAnsi="宋体"/>
          <w:sz w:val="28"/>
          <w:szCs w:val="28"/>
        </w:rPr>
      </w:pPr>
    </w:p>
    <w:p w14:paraId="01B4C102">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份，另有一份用于专利实施许可合同备案、一份用于技术合同认定登记，每份具有同等法律效力。</w:t>
      </w:r>
    </w:p>
    <w:p w14:paraId="7919BE4C">
      <w:pPr>
        <w:widowControl/>
        <w:adjustRightInd w:val="0"/>
        <w:snapToGrid w:val="0"/>
        <w:spacing w:line="276" w:lineRule="auto"/>
        <w:ind w:left="567"/>
        <w:rPr>
          <w:rFonts w:ascii="宋体" w:hAnsi="宋体"/>
          <w:sz w:val="28"/>
          <w:szCs w:val="28"/>
        </w:rPr>
      </w:pPr>
    </w:p>
    <w:p w14:paraId="28E52682">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本合同内容的任何修改或变更必须由双方书面签署同意。</w:t>
      </w:r>
    </w:p>
    <w:p w14:paraId="4CE6DCE4">
      <w:pPr>
        <w:widowControl/>
        <w:adjustRightInd w:val="0"/>
        <w:snapToGrid w:val="0"/>
        <w:spacing w:line="276" w:lineRule="auto"/>
        <w:ind w:left="567"/>
        <w:rPr>
          <w:rFonts w:ascii="宋体" w:hAnsi="宋体"/>
          <w:sz w:val="28"/>
          <w:szCs w:val="28"/>
        </w:rPr>
      </w:pPr>
    </w:p>
    <w:p w14:paraId="382D2C1A">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14:paraId="6FFE59B4">
      <w:pPr>
        <w:widowControl/>
        <w:adjustRightInd w:val="0"/>
        <w:snapToGrid w:val="0"/>
        <w:spacing w:line="276" w:lineRule="auto"/>
        <w:ind w:left="567"/>
        <w:rPr>
          <w:rFonts w:ascii="宋体" w:hAnsi="宋体"/>
          <w:sz w:val="28"/>
          <w:szCs w:val="28"/>
        </w:rPr>
      </w:pPr>
    </w:p>
    <w:p w14:paraId="1B6D8FEF">
      <w:pPr>
        <w:widowControl/>
        <w:numPr>
          <w:ilvl w:val="0"/>
          <w:numId w:val="12"/>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rPr>
        <w:t xml:space="preserve"> </w:t>
      </w:r>
      <w:r>
        <w:rPr>
          <w:rFonts w:ascii="宋体" w:hAnsi="宋体"/>
          <w:bCs/>
          <w:sz w:val="28"/>
          <w:szCs w:val="28"/>
          <w:lang w:val="en-GB"/>
        </w:rPr>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14:paraId="386E555D">
      <w:pPr>
        <w:widowControl/>
        <w:numPr>
          <w:ilvl w:val="255"/>
          <w:numId w:val="0"/>
        </w:numPr>
        <w:adjustRightInd w:val="0"/>
        <w:snapToGrid w:val="0"/>
        <w:spacing w:line="276" w:lineRule="auto"/>
        <w:ind w:left="567" w:leftChars="270"/>
        <w:rPr>
          <w:rFonts w:ascii="宋体" w:hAnsi="宋体"/>
          <w:bCs/>
          <w:sz w:val="28"/>
          <w:szCs w:val="28"/>
          <w:lang w:val="en-GB"/>
        </w:rPr>
      </w:pPr>
    </w:p>
    <w:p w14:paraId="3DE46CCA">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第十八条  其他</w:t>
      </w:r>
    </w:p>
    <w:p w14:paraId="61336905">
      <w:pPr>
        <w:widowControl/>
        <w:tabs>
          <w:tab w:val="left" w:pos="1418"/>
        </w:tabs>
        <w:adjustRightInd w:val="0"/>
        <w:snapToGrid w:val="0"/>
        <w:spacing w:line="276" w:lineRule="auto"/>
        <w:ind w:left="425"/>
        <w:rPr>
          <w:rFonts w:ascii="宋体" w:hAnsi="宋体"/>
          <w:b/>
          <w:sz w:val="28"/>
          <w:szCs w:val="28"/>
        </w:rPr>
      </w:pPr>
    </w:p>
    <w:p w14:paraId="703CDA3A">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635ECC0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56B1C41B">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0E725E09">
      <w:pPr>
        <w:widowControl/>
        <w:tabs>
          <w:tab w:val="left" w:pos="1418"/>
        </w:tabs>
        <w:adjustRightInd w:val="0"/>
        <w:snapToGrid w:val="0"/>
        <w:spacing w:line="276" w:lineRule="auto"/>
        <w:ind w:left="425"/>
        <w:rPr>
          <w:rFonts w:ascii="宋体" w:hAnsi="宋体"/>
          <w:b/>
          <w:sz w:val="28"/>
          <w:szCs w:val="28"/>
        </w:rPr>
      </w:pPr>
    </w:p>
    <w:p w14:paraId="0C241C52">
      <w:pPr>
        <w:widowControl/>
        <w:tabs>
          <w:tab w:val="left" w:pos="1418"/>
        </w:tabs>
        <w:adjustRightInd w:val="0"/>
        <w:snapToGrid w:val="0"/>
        <w:spacing w:line="276" w:lineRule="auto"/>
        <w:ind w:left="425"/>
        <w:rPr>
          <w:rFonts w:ascii="宋体" w:hAnsi="宋体"/>
          <w:b/>
          <w:sz w:val="28"/>
          <w:szCs w:val="28"/>
        </w:rPr>
      </w:pPr>
    </w:p>
    <w:p w14:paraId="7270EBEF">
      <w:pPr>
        <w:widowControl/>
        <w:tabs>
          <w:tab w:val="left" w:pos="1418"/>
        </w:tabs>
        <w:adjustRightInd w:val="0"/>
        <w:snapToGrid w:val="0"/>
        <w:spacing w:line="276" w:lineRule="auto"/>
        <w:ind w:left="425"/>
        <w:rPr>
          <w:rFonts w:ascii="宋体" w:hAnsi="宋体"/>
          <w:b/>
          <w:sz w:val="28"/>
          <w:szCs w:val="28"/>
        </w:rPr>
      </w:pPr>
    </w:p>
    <w:p w14:paraId="03FEAE74">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14:paraId="40A804E8">
      <w:pPr>
        <w:spacing w:line="360" w:lineRule="auto"/>
        <w:jc w:val="center"/>
        <w:outlineLvl w:val="0"/>
        <w:rPr>
          <w:sz w:val="30"/>
        </w:rPr>
      </w:pPr>
      <w:r>
        <w:rPr>
          <w:sz w:val="30"/>
        </w:rPr>
        <w:t>（</w:t>
      </w:r>
      <w:r>
        <w:rPr>
          <w:rFonts w:hint="eastAsia"/>
          <w:sz w:val="30"/>
        </w:rPr>
        <w:t>本</w:t>
      </w:r>
      <w:r>
        <w:rPr>
          <w:sz w:val="30"/>
        </w:rPr>
        <w:t>页无正文，为《</w:t>
      </w:r>
      <w:r>
        <w:rPr>
          <w:rFonts w:hint="eastAsia"/>
          <w:sz w:val="30"/>
        </w:rPr>
        <w:t>专利实施许可合同</w:t>
      </w:r>
      <w:r>
        <w:rPr>
          <w:sz w:val="30"/>
        </w:rPr>
        <w:t>》的签署页）</w:t>
      </w:r>
    </w:p>
    <w:p w14:paraId="6D20A403">
      <w:pPr>
        <w:spacing w:line="360" w:lineRule="auto"/>
        <w:ind w:firstLine="600"/>
        <w:rPr>
          <w:sz w:val="30"/>
        </w:rPr>
      </w:pPr>
    </w:p>
    <w:p w14:paraId="722923BA">
      <w:pPr>
        <w:spacing w:line="360" w:lineRule="auto"/>
        <w:ind w:firstLine="600"/>
        <w:rPr>
          <w:sz w:val="30"/>
        </w:rPr>
      </w:pPr>
    </w:p>
    <w:p w14:paraId="3ED25238">
      <w:pPr>
        <w:spacing w:line="360" w:lineRule="auto"/>
        <w:ind w:firstLine="600"/>
        <w:rPr>
          <w:sz w:val="30"/>
        </w:rPr>
      </w:pPr>
    </w:p>
    <w:p w14:paraId="7598B9A8">
      <w:pPr>
        <w:spacing w:line="360" w:lineRule="auto"/>
        <w:ind w:firstLine="600"/>
        <w:rPr>
          <w:sz w:val="30"/>
        </w:rPr>
      </w:pPr>
      <w:r>
        <w:rPr>
          <w:rFonts w:hint="eastAsia"/>
          <w:sz w:val="30"/>
        </w:rPr>
        <w:t xml:space="preserve">    许可方签章                被许可方签章</w:t>
      </w:r>
    </w:p>
    <w:p w14:paraId="6175EB55">
      <w:pPr>
        <w:spacing w:line="360" w:lineRule="auto"/>
        <w:ind w:firstLine="600"/>
        <w:rPr>
          <w:sz w:val="30"/>
        </w:rPr>
      </w:pPr>
    </w:p>
    <w:p w14:paraId="36695133">
      <w:pPr>
        <w:spacing w:line="360" w:lineRule="auto"/>
        <w:ind w:firstLine="600"/>
        <w:rPr>
          <w:sz w:val="30"/>
        </w:rPr>
      </w:pPr>
    </w:p>
    <w:p w14:paraId="6E14CCB8">
      <w:pPr>
        <w:spacing w:line="360" w:lineRule="auto"/>
        <w:ind w:firstLine="600"/>
        <w:rPr>
          <w:sz w:val="30"/>
        </w:rPr>
      </w:pPr>
    </w:p>
    <w:p w14:paraId="0DC4F548">
      <w:pPr>
        <w:spacing w:line="360" w:lineRule="auto"/>
        <w:ind w:firstLine="600"/>
        <w:rPr>
          <w:sz w:val="30"/>
        </w:rPr>
      </w:pPr>
    </w:p>
    <w:p w14:paraId="31F7E8CA">
      <w:pPr>
        <w:spacing w:line="360" w:lineRule="auto"/>
        <w:ind w:firstLine="600"/>
        <w:rPr>
          <w:sz w:val="30"/>
        </w:rPr>
      </w:pPr>
    </w:p>
    <w:p w14:paraId="2C9DDB0A">
      <w:pPr>
        <w:spacing w:line="360" w:lineRule="auto"/>
        <w:ind w:firstLine="600"/>
        <w:rPr>
          <w:sz w:val="30"/>
        </w:rPr>
      </w:pPr>
      <w:r>
        <w:rPr>
          <w:rFonts w:hint="eastAsia"/>
          <w:sz w:val="30"/>
        </w:rPr>
        <w:t>许可方法人代表签章        被许可方法人代表签章</w:t>
      </w:r>
    </w:p>
    <w:p w14:paraId="5F5D5D45">
      <w:pPr>
        <w:spacing w:line="360" w:lineRule="auto"/>
        <w:ind w:firstLine="600"/>
        <w:rPr>
          <w:sz w:val="30"/>
        </w:rPr>
      </w:pPr>
    </w:p>
    <w:p w14:paraId="492ADC09">
      <w:pPr>
        <w:spacing w:line="360" w:lineRule="auto"/>
        <w:ind w:firstLine="600"/>
        <w:rPr>
          <w:sz w:val="30"/>
        </w:rPr>
      </w:pPr>
    </w:p>
    <w:p w14:paraId="5EB2CDCC">
      <w:pPr>
        <w:spacing w:line="360" w:lineRule="auto"/>
        <w:ind w:firstLine="600"/>
        <w:rPr>
          <w:sz w:val="30"/>
        </w:rPr>
      </w:pPr>
    </w:p>
    <w:p w14:paraId="58606D9D">
      <w:pPr>
        <w:spacing w:line="360" w:lineRule="auto"/>
        <w:jc w:val="center"/>
        <w:outlineLvl w:val="0"/>
        <w:rPr>
          <w:sz w:val="30"/>
        </w:rPr>
      </w:pPr>
      <w:r>
        <w:rPr>
          <w:rFonts w:hint="eastAsia"/>
          <w:sz w:val="30"/>
        </w:rPr>
        <w:t xml:space="preserve">  年    月    日             年    月    日</w:t>
      </w:r>
    </w:p>
    <w:p w14:paraId="2AFD1849">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14:paraId="769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14:paraId="0D696135">
            <w:pPr>
              <w:jc w:val="center"/>
            </w:pPr>
            <w:r>
              <w:rPr>
                <w:rFonts w:hint="eastAsia"/>
              </w:rPr>
              <w:t>许</w:t>
            </w:r>
          </w:p>
          <w:p w14:paraId="6EC436EB">
            <w:pPr>
              <w:jc w:val="center"/>
            </w:pPr>
          </w:p>
          <w:p w14:paraId="5E46AED5">
            <w:pPr>
              <w:jc w:val="center"/>
            </w:pPr>
            <w:r>
              <w:rPr>
                <w:rFonts w:hint="eastAsia"/>
              </w:rPr>
              <w:t>可</w:t>
            </w:r>
          </w:p>
          <w:p w14:paraId="75199B8A">
            <w:pPr>
              <w:jc w:val="center"/>
            </w:pPr>
          </w:p>
          <w:p w14:paraId="1AA60CD7">
            <w:pPr>
              <w:jc w:val="center"/>
            </w:pPr>
            <w:r>
              <w:rPr>
                <w:rFonts w:hint="eastAsia"/>
              </w:rPr>
              <w:t>方</w:t>
            </w:r>
          </w:p>
        </w:tc>
        <w:tc>
          <w:tcPr>
            <w:tcW w:w="1995" w:type="dxa"/>
            <w:vAlign w:val="center"/>
          </w:tcPr>
          <w:p w14:paraId="1F208052">
            <w:pPr>
              <w:jc w:val="center"/>
            </w:pPr>
            <w:r>
              <w:rPr>
                <w:rFonts w:hint="eastAsia"/>
              </w:rPr>
              <w:t>名称（或姓名）</w:t>
            </w:r>
          </w:p>
        </w:tc>
        <w:tc>
          <w:tcPr>
            <w:tcW w:w="6615" w:type="dxa"/>
            <w:gridSpan w:val="6"/>
            <w:vAlign w:val="center"/>
          </w:tcPr>
          <w:p w14:paraId="57636531">
            <w:pPr>
              <w:tabs>
                <w:tab w:val="left" w:pos="5541"/>
              </w:tabs>
            </w:pPr>
            <w:r>
              <w:rPr>
                <w:rFonts w:hint="eastAsia"/>
              </w:rPr>
              <w:t xml:space="preserve">                                                  （签章）</w:t>
            </w:r>
          </w:p>
        </w:tc>
      </w:tr>
      <w:tr w14:paraId="1946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76BAA121">
            <w:pPr>
              <w:jc w:val="center"/>
            </w:pPr>
          </w:p>
        </w:tc>
        <w:tc>
          <w:tcPr>
            <w:tcW w:w="1995" w:type="dxa"/>
            <w:vAlign w:val="center"/>
          </w:tcPr>
          <w:p w14:paraId="465E42B2">
            <w:pPr>
              <w:jc w:val="center"/>
            </w:pPr>
            <w:r>
              <w:rPr>
                <w:rFonts w:hint="eastAsia"/>
              </w:rPr>
              <w:t>统一社会信用代码</w:t>
            </w:r>
          </w:p>
        </w:tc>
        <w:tc>
          <w:tcPr>
            <w:tcW w:w="6615" w:type="dxa"/>
            <w:gridSpan w:val="6"/>
            <w:vAlign w:val="center"/>
          </w:tcPr>
          <w:p w14:paraId="0776CD99">
            <w:pPr>
              <w:tabs>
                <w:tab w:val="left" w:pos="5541"/>
              </w:tabs>
            </w:pPr>
          </w:p>
        </w:tc>
      </w:tr>
      <w:tr w14:paraId="074D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40369744">
            <w:pPr>
              <w:jc w:val="center"/>
            </w:pPr>
          </w:p>
        </w:tc>
        <w:tc>
          <w:tcPr>
            <w:tcW w:w="1995" w:type="dxa"/>
            <w:vAlign w:val="center"/>
          </w:tcPr>
          <w:p w14:paraId="16112583">
            <w:pPr>
              <w:jc w:val="center"/>
            </w:pPr>
            <w:r>
              <w:rPr>
                <w:rFonts w:hint="eastAsia"/>
              </w:rPr>
              <w:t>法人代表</w:t>
            </w:r>
          </w:p>
        </w:tc>
        <w:tc>
          <w:tcPr>
            <w:tcW w:w="2205" w:type="dxa"/>
            <w:vAlign w:val="center"/>
          </w:tcPr>
          <w:p w14:paraId="2747A573">
            <w:r>
              <w:rPr>
                <w:rFonts w:hint="eastAsia"/>
              </w:rPr>
              <w:t xml:space="preserve">          （签章）</w:t>
            </w:r>
          </w:p>
        </w:tc>
        <w:tc>
          <w:tcPr>
            <w:tcW w:w="1659" w:type="dxa"/>
            <w:gridSpan w:val="3"/>
            <w:vAlign w:val="center"/>
          </w:tcPr>
          <w:p w14:paraId="14DFC5C2">
            <w:r>
              <w:rPr>
                <w:rFonts w:hint="eastAsia"/>
              </w:rPr>
              <w:t>委托代理人</w:t>
            </w:r>
          </w:p>
        </w:tc>
        <w:tc>
          <w:tcPr>
            <w:tcW w:w="2751" w:type="dxa"/>
            <w:gridSpan w:val="2"/>
            <w:vAlign w:val="center"/>
          </w:tcPr>
          <w:p w14:paraId="032B3316">
            <w:r>
              <w:rPr>
                <w:rFonts w:hint="eastAsia"/>
              </w:rPr>
              <w:t xml:space="preserve">              （签章）</w:t>
            </w:r>
          </w:p>
        </w:tc>
      </w:tr>
      <w:tr w14:paraId="65A2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01CA2A89">
            <w:pPr>
              <w:jc w:val="center"/>
            </w:pPr>
          </w:p>
        </w:tc>
        <w:tc>
          <w:tcPr>
            <w:tcW w:w="1995" w:type="dxa"/>
            <w:vAlign w:val="center"/>
          </w:tcPr>
          <w:p w14:paraId="34C34169">
            <w:pPr>
              <w:jc w:val="center"/>
            </w:pPr>
            <w:r>
              <w:rPr>
                <w:rFonts w:hint="eastAsia"/>
              </w:rPr>
              <w:t>联系人</w:t>
            </w:r>
          </w:p>
        </w:tc>
        <w:tc>
          <w:tcPr>
            <w:tcW w:w="6615" w:type="dxa"/>
            <w:gridSpan w:val="6"/>
            <w:vAlign w:val="center"/>
          </w:tcPr>
          <w:p w14:paraId="03503641">
            <w:r>
              <w:rPr>
                <w:rFonts w:hint="eastAsia"/>
              </w:rPr>
              <w:t xml:space="preserve">                                                   （签章）</w:t>
            </w:r>
          </w:p>
        </w:tc>
      </w:tr>
      <w:tr w14:paraId="6F98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14:paraId="609DAD2A">
            <w:pPr>
              <w:jc w:val="center"/>
            </w:pPr>
          </w:p>
        </w:tc>
        <w:tc>
          <w:tcPr>
            <w:tcW w:w="1995" w:type="dxa"/>
            <w:vAlign w:val="center"/>
          </w:tcPr>
          <w:p w14:paraId="44EC00A3">
            <w:pPr>
              <w:jc w:val="center"/>
            </w:pPr>
            <w:r>
              <w:rPr>
                <w:rFonts w:hint="eastAsia"/>
              </w:rPr>
              <w:t>住  所</w:t>
            </w:r>
          </w:p>
          <w:p w14:paraId="01A98081">
            <w:pPr>
              <w:jc w:val="center"/>
            </w:pPr>
            <w:r>
              <w:rPr>
                <w:rFonts w:hint="eastAsia"/>
              </w:rPr>
              <w:t>（通讯地址）</w:t>
            </w:r>
          </w:p>
        </w:tc>
        <w:tc>
          <w:tcPr>
            <w:tcW w:w="6615" w:type="dxa"/>
            <w:gridSpan w:val="6"/>
            <w:vAlign w:val="center"/>
          </w:tcPr>
          <w:p w14:paraId="726480AF"/>
        </w:tc>
      </w:tr>
      <w:tr w14:paraId="1AA1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D534F70">
            <w:pPr>
              <w:jc w:val="center"/>
            </w:pPr>
          </w:p>
        </w:tc>
        <w:tc>
          <w:tcPr>
            <w:tcW w:w="1995" w:type="dxa"/>
            <w:vAlign w:val="center"/>
          </w:tcPr>
          <w:p w14:paraId="5396A263">
            <w:pPr>
              <w:jc w:val="center"/>
            </w:pPr>
            <w:r>
              <w:rPr>
                <w:rFonts w:hint="eastAsia"/>
              </w:rPr>
              <w:t>电  话</w:t>
            </w:r>
          </w:p>
        </w:tc>
        <w:tc>
          <w:tcPr>
            <w:tcW w:w="2835" w:type="dxa"/>
            <w:gridSpan w:val="3"/>
            <w:vAlign w:val="center"/>
          </w:tcPr>
          <w:p w14:paraId="53311019"/>
        </w:tc>
        <w:tc>
          <w:tcPr>
            <w:tcW w:w="1029" w:type="dxa"/>
            <w:vAlign w:val="center"/>
          </w:tcPr>
          <w:p w14:paraId="1009A365">
            <w:pPr>
              <w:jc w:val="center"/>
            </w:pPr>
            <w:r>
              <w:rPr>
                <w:rFonts w:hint="eastAsia"/>
              </w:rPr>
              <w:t>电  挂</w:t>
            </w:r>
          </w:p>
        </w:tc>
        <w:tc>
          <w:tcPr>
            <w:tcW w:w="2751" w:type="dxa"/>
            <w:gridSpan w:val="2"/>
            <w:vAlign w:val="center"/>
          </w:tcPr>
          <w:p w14:paraId="2F3BBD87"/>
        </w:tc>
      </w:tr>
      <w:tr w14:paraId="183D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098030A6">
            <w:pPr>
              <w:jc w:val="center"/>
            </w:pPr>
          </w:p>
        </w:tc>
        <w:tc>
          <w:tcPr>
            <w:tcW w:w="1995" w:type="dxa"/>
            <w:vAlign w:val="center"/>
          </w:tcPr>
          <w:p w14:paraId="3883D0EE">
            <w:pPr>
              <w:jc w:val="center"/>
            </w:pPr>
            <w:r>
              <w:rPr>
                <w:rFonts w:hint="eastAsia"/>
              </w:rPr>
              <w:t>开户银行</w:t>
            </w:r>
          </w:p>
        </w:tc>
        <w:tc>
          <w:tcPr>
            <w:tcW w:w="6615" w:type="dxa"/>
            <w:gridSpan w:val="6"/>
            <w:vAlign w:val="center"/>
          </w:tcPr>
          <w:p w14:paraId="6778A5E7">
            <w:pPr>
              <w:jc w:val="center"/>
            </w:pPr>
          </w:p>
        </w:tc>
      </w:tr>
      <w:tr w14:paraId="29D2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9E90A87">
            <w:pPr>
              <w:jc w:val="center"/>
            </w:pPr>
          </w:p>
        </w:tc>
        <w:tc>
          <w:tcPr>
            <w:tcW w:w="1995" w:type="dxa"/>
            <w:vAlign w:val="center"/>
          </w:tcPr>
          <w:p w14:paraId="7BDFAEA8">
            <w:pPr>
              <w:jc w:val="center"/>
            </w:pPr>
            <w:r>
              <w:rPr>
                <w:rFonts w:hint="eastAsia"/>
              </w:rPr>
              <w:t>帐  号</w:t>
            </w:r>
          </w:p>
        </w:tc>
        <w:tc>
          <w:tcPr>
            <w:tcW w:w="2835" w:type="dxa"/>
            <w:gridSpan w:val="3"/>
            <w:vAlign w:val="center"/>
          </w:tcPr>
          <w:p w14:paraId="6126FB9B">
            <w:pPr>
              <w:jc w:val="center"/>
            </w:pPr>
          </w:p>
        </w:tc>
        <w:tc>
          <w:tcPr>
            <w:tcW w:w="1365" w:type="dxa"/>
            <w:gridSpan w:val="2"/>
            <w:vAlign w:val="center"/>
          </w:tcPr>
          <w:p w14:paraId="284911F8">
            <w:pPr>
              <w:jc w:val="center"/>
            </w:pPr>
            <w:r>
              <w:rPr>
                <w:rFonts w:hint="eastAsia"/>
              </w:rPr>
              <w:t>邮政编码</w:t>
            </w:r>
          </w:p>
        </w:tc>
        <w:tc>
          <w:tcPr>
            <w:tcW w:w="2415" w:type="dxa"/>
            <w:vAlign w:val="center"/>
          </w:tcPr>
          <w:p w14:paraId="1808C2D1">
            <w:pPr>
              <w:jc w:val="center"/>
            </w:pPr>
          </w:p>
        </w:tc>
      </w:tr>
      <w:tr w14:paraId="18CC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14:paraId="271DF114">
            <w:pPr>
              <w:jc w:val="center"/>
            </w:pPr>
            <w:r>
              <w:rPr>
                <w:rFonts w:hint="eastAsia"/>
              </w:rPr>
              <w:t>被</w:t>
            </w:r>
          </w:p>
          <w:p w14:paraId="55F07E87">
            <w:pPr>
              <w:jc w:val="center"/>
            </w:pPr>
          </w:p>
          <w:p w14:paraId="5B0CF65C">
            <w:pPr>
              <w:jc w:val="center"/>
            </w:pPr>
            <w:r>
              <w:rPr>
                <w:rFonts w:hint="eastAsia"/>
              </w:rPr>
              <w:t>许</w:t>
            </w:r>
          </w:p>
          <w:p w14:paraId="141EFB49">
            <w:pPr>
              <w:jc w:val="center"/>
            </w:pPr>
          </w:p>
          <w:p w14:paraId="2AA3B4DD">
            <w:pPr>
              <w:jc w:val="center"/>
            </w:pPr>
            <w:r>
              <w:rPr>
                <w:rFonts w:hint="eastAsia"/>
              </w:rPr>
              <w:t>可</w:t>
            </w:r>
          </w:p>
          <w:p w14:paraId="691DF045">
            <w:pPr>
              <w:jc w:val="center"/>
            </w:pPr>
          </w:p>
          <w:p w14:paraId="3CB2D62F">
            <w:pPr>
              <w:jc w:val="center"/>
            </w:pPr>
            <w:r>
              <w:rPr>
                <w:rFonts w:hint="eastAsia"/>
              </w:rPr>
              <w:t>方</w:t>
            </w:r>
          </w:p>
        </w:tc>
        <w:tc>
          <w:tcPr>
            <w:tcW w:w="1995" w:type="dxa"/>
            <w:vAlign w:val="center"/>
          </w:tcPr>
          <w:p w14:paraId="2B601CB3">
            <w:pPr>
              <w:jc w:val="center"/>
            </w:pPr>
            <w:r>
              <w:rPr>
                <w:rFonts w:hint="eastAsia"/>
              </w:rPr>
              <w:t>名称（或姓名）</w:t>
            </w:r>
          </w:p>
        </w:tc>
        <w:tc>
          <w:tcPr>
            <w:tcW w:w="6615" w:type="dxa"/>
            <w:gridSpan w:val="6"/>
            <w:vAlign w:val="center"/>
          </w:tcPr>
          <w:p w14:paraId="48266181">
            <w:pPr>
              <w:jc w:val="center"/>
            </w:pPr>
            <w:r>
              <w:rPr>
                <w:rFonts w:hint="eastAsia"/>
              </w:rPr>
              <w:t xml:space="preserve">                                                （签章）</w:t>
            </w:r>
          </w:p>
        </w:tc>
      </w:tr>
      <w:tr w14:paraId="4D50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A4DA92D">
            <w:pPr>
              <w:jc w:val="center"/>
            </w:pPr>
          </w:p>
        </w:tc>
        <w:tc>
          <w:tcPr>
            <w:tcW w:w="1995" w:type="dxa"/>
            <w:vAlign w:val="center"/>
          </w:tcPr>
          <w:p w14:paraId="50D0C516">
            <w:pPr>
              <w:jc w:val="center"/>
            </w:pPr>
            <w:r>
              <w:rPr>
                <w:rFonts w:hint="eastAsia"/>
              </w:rPr>
              <w:t>统一社会信用代码</w:t>
            </w:r>
          </w:p>
        </w:tc>
        <w:tc>
          <w:tcPr>
            <w:tcW w:w="6615" w:type="dxa"/>
            <w:gridSpan w:val="6"/>
            <w:vAlign w:val="center"/>
          </w:tcPr>
          <w:p w14:paraId="441A77DD">
            <w:pPr>
              <w:jc w:val="center"/>
            </w:pPr>
          </w:p>
        </w:tc>
      </w:tr>
      <w:tr w14:paraId="31DC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B6732F4">
            <w:pPr>
              <w:jc w:val="center"/>
            </w:pPr>
          </w:p>
        </w:tc>
        <w:tc>
          <w:tcPr>
            <w:tcW w:w="1995" w:type="dxa"/>
            <w:vAlign w:val="center"/>
          </w:tcPr>
          <w:p w14:paraId="31F81818">
            <w:pPr>
              <w:jc w:val="center"/>
            </w:pPr>
            <w:r>
              <w:rPr>
                <w:rFonts w:hint="eastAsia"/>
              </w:rPr>
              <w:t>法人代表</w:t>
            </w:r>
          </w:p>
        </w:tc>
        <w:tc>
          <w:tcPr>
            <w:tcW w:w="2205" w:type="dxa"/>
            <w:vAlign w:val="center"/>
          </w:tcPr>
          <w:p w14:paraId="6BD623D8">
            <w:pPr>
              <w:jc w:val="center"/>
            </w:pPr>
            <w:r>
              <w:rPr>
                <w:rFonts w:hint="eastAsia"/>
              </w:rPr>
              <w:t xml:space="preserve">          （签章）</w:t>
            </w:r>
          </w:p>
        </w:tc>
        <w:tc>
          <w:tcPr>
            <w:tcW w:w="1659" w:type="dxa"/>
            <w:gridSpan w:val="3"/>
            <w:vAlign w:val="center"/>
          </w:tcPr>
          <w:p w14:paraId="08DC5058">
            <w:pPr>
              <w:jc w:val="center"/>
            </w:pPr>
            <w:r>
              <w:rPr>
                <w:rFonts w:hint="eastAsia"/>
              </w:rPr>
              <w:t>委托代理人</w:t>
            </w:r>
          </w:p>
        </w:tc>
        <w:tc>
          <w:tcPr>
            <w:tcW w:w="2751" w:type="dxa"/>
            <w:gridSpan w:val="2"/>
            <w:vAlign w:val="center"/>
          </w:tcPr>
          <w:p w14:paraId="1D29420E">
            <w:pPr>
              <w:jc w:val="center"/>
            </w:pPr>
            <w:r>
              <w:rPr>
                <w:rFonts w:hint="eastAsia"/>
              </w:rPr>
              <w:t xml:space="preserve">            （签章）</w:t>
            </w:r>
          </w:p>
        </w:tc>
      </w:tr>
      <w:tr w14:paraId="081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64D4426">
            <w:pPr>
              <w:jc w:val="center"/>
            </w:pPr>
          </w:p>
        </w:tc>
        <w:tc>
          <w:tcPr>
            <w:tcW w:w="1995" w:type="dxa"/>
            <w:vAlign w:val="center"/>
          </w:tcPr>
          <w:p w14:paraId="15F0F70F">
            <w:pPr>
              <w:jc w:val="center"/>
            </w:pPr>
            <w:r>
              <w:rPr>
                <w:rFonts w:hint="eastAsia"/>
              </w:rPr>
              <w:t>联系人</w:t>
            </w:r>
          </w:p>
        </w:tc>
        <w:tc>
          <w:tcPr>
            <w:tcW w:w="6615" w:type="dxa"/>
            <w:gridSpan w:val="6"/>
            <w:vAlign w:val="center"/>
          </w:tcPr>
          <w:p w14:paraId="433ED002">
            <w:pPr>
              <w:jc w:val="center"/>
            </w:pPr>
            <w:r>
              <w:rPr>
                <w:rFonts w:hint="eastAsia"/>
              </w:rPr>
              <w:t xml:space="preserve">                                                （签章）</w:t>
            </w:r>
          </w:p>
        </w:tc>
      </w:tr>
      <w:tr w14:paraId="70BD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14:paraId="0AA55F23">
            <w:pPr>
              <w:jc w:val="center"/>
            </w:pPr>
          </w:p>
        </w:tc>
        <w:tc>
          <w:tcPr>
            <w:tcW w:w="1995" w:type="dxa"/>
            <w:vAlign w:val="center"/>
          </w:tcPr>
          <w:p w14:paraId="35C79D47">
            <w:pPr>
              <w:jc w:val="center"/>
            </w:pPr>
            <w:r>
              <w:rPr>
                <w:rFonts w:hint="eastAsia"/>
              </w:rPr>
              <w:t>住  所</w:t>
            </w:r>
          </w:p>
          <w:p w14:paraId="28C19B11">
            <w:pPr>
              <w:jc w:val="center"/>
            </w:pPr>
            <w:r>
              <w:rPr>
                <w:rFonts w:hint="eastAsia"/>
              </w:rPr>
              <w:t>（通讯地址）</w:t>
            </w:r>
          </w:p>
        </w:tc>
        <w:tc>
          <w:tcPr>
            <w:tcW w:w="6615" w:type="dxa"/>
            <w:gridSpan w:val="6"/>
            <w:vAlign w:val="center"/>
          </w:tcPr>
          <w:p w14:paraId="49E88289">
            <w:pPr>
              <w:jc w:val="center"/>
            </w:pPr>
          </w:p>
        </w:tc>
      </w:tr>
      <w:tr w14:paraId="77EA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0FC62582">
            <w:pPr>
              <w:jc w:val="center"/>
            </w:pPr>
          </w:p>
        </w:tc>
        <w:tc>
          <w:tcPr>
            <w:tcW w:w="1995" w:type="dxa"/>
            <w:vAlign w:val="center"/>
          </w:tcPr>
          <w:p w14:paraId="22B4D62B">
            <w:pPr>
              <w:jc w:val="center"/>
            </w:pPr>
            <w:r>
              <w:rPr>
                <w:rFonts w:hint="eastAsia"/>
              </w:rPr>
              <w:t>电  话</w:t>
            </w:r>
          </w:p>
        </w:tc>
        <w:tc>
          <w:tcPr>
            <w:tcW w:w="2820" w:type="dxa"/>
            <w:gridSpan w:val="2"/>
            <w:vAlign w:val="center"/>
          </w:tcPr>
          <w:p w14:paraId="3AC66750">
            <w:pPr>
              <w:jc w:val="center"/>
            </w:pPr>
          </w:p>
        </w:tc>
        <w:tc>
          <w:tcPr>
            <w:tcW w:w="1044" w:type="dxa"/>
            <w:gridSpan w:val="2"/>
            <w:vAlign w:val="center"/>
          </w:tcPr>
          <w:p w14:paraId="606B09E9">
            <w:pPr>
              <w:jc w:val="center"/>
            </w:pPr>
            <w:r>
              <w:rPr>
                <w:rFonts w:hint="eastAsia"/>
              </w:rPr>
              <w:t>电  挂</w:t>
            </w:r>
          </w:p>
        </w:tc>
        <w:tc>
          <w:tcPr>
            <w:tcW w:w="2751" w:type="dxa"/>
            <w:gridSpan w:val="2"/>
            <w:vAlign w:val="center"/>
          </w:tcPr>
          <w:p w14:paraId="3EE04201">
            <w:pPr>
              <w:jc w:val="center"/>
            </w:pPr>
          </w:p>
        </w:tc>
      </w:tr>
      <w:tr w14:paraId="68EA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FBA072E">
            <w:pPr>
              <w:jc w:val="center"/>
            </w:pPr>
          </w:p>
        </w:tc>
        <w:tc>
          <w:tcPr>
            <w:tcW w:w="1995" w:type="dxa"/>
            <w:vAlign w:val="center"/>
          </w:tcPr>
          <w:p w14:paraId="14ACD4F0">
            <w:pPr>
              <w:jc w:val="center"/>
            </w:pPr>
            <w:r>
              <w:rPr>
                <w:rFonts w:hint="eastAsia"/>
              </w:rPr>
              <w:t>开户银行</w:t>
            </w:r>
          </w:p>
        </w:tc>
        <w:tc>
          <w:tcPr>
            <w:tcW w:w="6615" w:type="dxa"/>
            <w:gridSpan w:val="6"/>
            <w:vAlign w:val="center"/>
          </w:tcPr>
          <w:p w14:paraId="19500151">
            <w:pPr>
              <w:jc w:val="center"/>
            </w:pPr>
          </w:p>
        </w:tc>
      </w:tr>
      <w:tr w14:paraId="7C8C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1379830F">
            <w:pPr>
              <w:jc w:val="center"/>
            </w:pPr>
          </w:p>
        </w:tc>
        <w:tc>
          <w:tcPr>
            <w:tcW w:w="1995" w:type="dxa"/>
            <w:vAlign w:val="center"/>
          </w:tcPr>
          <w:p w14:paraId="109FAA55">
            <w:pPr>
              <w:jc w:val="center"/>
            </w:pPr>
            <w:r>
              <w:rPr>
                <w:rFonts w:hint="eastAsia"/>
              </w:rPr>
              <w:t>帐  号</w:t>
            </w:r>
          </w:p>
        </w:tc>
        <w:tc>
          <w:tcPr>
            <w:tcW w:w="2835" w:type="dxa"/>
            <w:gridSpan w:val="3"/>
            <w:vAlign w:val="center"/>
          </w:tcPr>
          <w:p w14:paraId="1C8C04BD">
            <w:pPr>
              <w:jc w:val="center"/>
            </w:pPr>
          </w:p>
        </w:tc>
        <w:tc>
          <w:tcPr>
            <w:tcW w:w="1365" w:type="dxa"/>
            <w:gridSpan w:val="2"/>
            <w:vAlign w:val="center"/>
          </w:tcPr>
          <w:p w14:paraId="453B68FD">
            <w:pPr>
              <w:jc w:val="center"/>
            </w:pPr>
            <w:r>
              <w:rPr>
                <w:rFonts w:hint="eastAsia"/>
              </w:rPr>
              <w:t>邮政编码</w:t>
            </w:r>
          </w:p>
        </w:tc>
        <w:tc>
          <w:tcPr>
            <w:tcW w:w="2415" w:type="dxa"/>
            <w:vAlign w:val="center"/>
          </w:tcPr>
          <w:p w14:paraId="05D46459">
            <w:pPr>
              <w:jc w:val="center"/>
            </w:pPr>
          </w:p>
        </w:tc>
      </w:tr>
      <w:tr w14:paraId="44E9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3" w:type="dxa"/>
            <w:vMerge w:val="restart"/>
            <w:vAlign w:val="center"/>
          </w:tcPr>
          <w:p w14:paraId="6C73B74F">
            <w:pPr>
              <w:jc w:val="center"/>
            </w:pPr>
            <w:r>
              <w:rPr>
                <w:rFonts w:hint="eastAsia"/>
              </w:rPr>
              <w:t>中</w:t>
            </w:r>
          </w:p>
          <w:p w14:paraId="00147B4B">
            <w:pPr>
              <w:jc w:val="center"/>
            </w:pPr>
          </w:p>
          <w:p w14:paraId="2D9148DA">
            <w:pPr>
              <w:jc w:val="center"/>
            </w:pPr>
            <w:r>
              <w:rPr>
                <w:rFonts w:hint="eastAsia"/>
              </w:rPr>
              <w:t>介</w:t>
            </w:r>
          </w:p>
          <w:p w14:paraId="39763FC7">
            <w:pPr>
              <w:jc w:val="center"/>
            </w:pPr>
          </w:p>
          <w:p w14:paraId="000456E0">
            <w:pPr>
              <w:jc w:val="center"/>
            </w:pPr>
            <w:r>
              <w:rPr>
                <w:rFonts w:hint="eastAsia"/>
              </w:rPr>
              <w:t>方</w:t>
            </w:r>
          </w:p>
        </w:tc>
        <w:tc>
          <w:tcPr>
            <w:tcW w:w="1995" w:type="dxa"/>
            <w:vAlign w:val="center"/>
          </w:tcPr>
          <w:p w14:paraId="52BD0335">
            <w:pPr>
              <w:jc w:val="center"/>
            </w:pPr>
            <w:r>
              <w:rPr>
                <w:rFonts w:hint="eastAsia"/>
              </w:rPr>
              <w:t>单位名称</w:t>
            </w:r>
          </w:p>
        </w:tc>
        <w:tc>
          <w:tcPr>
            <w:tcW w:w="6615" w:type="dxa"/>
            <w:gridSpan w:val="6"/>
            <w:vAlign w:val="center"/>
          </w:tcPr>
          <w:p w14:paraId="2F3ADE37">
            <w:pPr>
              <w:jc w:val="center"/>
            </w:pPr>
            <w:r>
              <w:rPr>
                <w:rFonts w:hint="eastAsia"/>
              </w:rPr>
              <w:t xml:space="preserve">                                （公章）</w:t>
            </w:r>
          </w:p>
          <w:p w14:paraId="22C20C4C">
            <w:pPr>
              <w:jc w:val="center"/>
            </w:pPr>
            <w:r>
              <w:rPr>
                <w:rFonts w:hint="eastAsia"/>
              </w:rPr>
              <w:t xml:space="preserve">                                年    月    日</w:t>
            </w:r>
          </w:p>
        </w:tc>
      </w:tr>
      <w:tr w14:paraId="0B00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215B7BB9">
            <w:pPr>
              <w:jc w:val="center"/>
            </w:pPr>
          </w:p>
        </w:tc>
        <w:tc>
          <w:tcPr>
            <w:tcW w:w="1995" w:type="dxa"/>
            <w:vAlign w:val="center"/>
          </w:tcPr>
          <w:p w14:paraId="766B3D92">
            <w:pPr>
              <w:jc w:val="center"/>
            </w:pPr>
            <w:r>
              <w:rPr>
                <w:rFonts w:hint="eastAsia"/>
              </w:rPr>
              <w:t>法人代表</w:t>
            </w:r>
          </w:p>
        </w:tc>
        <w:tc>
          <w:tcPr>
            <w:tcW w:w="2205" w:type="dxa"/>
            <w:vAlign w:val="center"/>
          </w:tcPr>
          <w:p w14:paraId="3582A1EE">
            <w:pPr>
              <w:jc w:val="center"/>
            </w:pPr>
            <w:r>
              <w:rPr>
                <w:rFonts w:hint="eastAsia"/>
              </w:rPr>
              <w:t xml:space="preserve">          （签章）</w:t>
            </w:r>
          </w:p>
        </w:tc>
        <w:tc>
          <w:tcPr>
            <w:tcW w:w="1659" w:type="dxa"/>
            <w:gridSpan w:val="3"/>
            <w:vAlign w:val="center"/>
          </w:tcPr>
          <w:p w14:paraId="7B136393">
            <w:pPr>
              <w:jc w:val="center"/>
            </w:pPr>
            <w:r>
              <w:rPr>
                <w:rFonts w:hint="eastAsia"/>
              </w:rPr>
              <w:t>委托代理人</w:t>
            </w:r>
          </w:p>
        </w:tc>
        <w:tc>
          <w:tcPr>
            <w:tcW w:w="2751" w:type="dxa"/>
            <w:gridSpan w:val="2"/>
            <w:vAlign w:val="center"/>
          </w:tcPr>
          <w:p w14:paraId="22B230AA">
            <w:pPr>
              <w:jc w:val="center"/>
            </w:pPr>
            <w:r>
              <w:rPr>
                <w:rFonts w:hint="eastAsia"/>
              </w:rPr>
              <w:t xml:space="preserve">            （签章）</w:t>
            </w:r>
          </w:p>
        </w:tc>
      </w:tr>
      <w:tr w14:paraId="21B6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5F6B1BE0">
            <w:pPr>
              <w:jc w:val="center"/>
            </w:pPr>
          </w:p>
        </w:tc>
        <w:tc>
          <w:tcPr>
            <w:tcW w:w="1995" w:type="dxa"/>
            <w:vAlign w:val="center"/>
          </w:tcPr>
          <w:p w14:paraId="7476A088">
            <w:pPr>
              <w:jc w:val="center"/>
            </w:pPr>
            <w:r>
              <w:rPr>
                <w:rFonts w:hint="eastAsia"/>
              </w:rPr>
              <w:t>联系人</w:t>
            </w:r>
          </w:p>
        </w:tc>
        <w:tc>
          <w:tcPr>
            <w:tcW w:w="6615" w:type="dxa"/>
            <w:gridSpan w:val="6"/>
            <w:vAlign w:val="center"/>
          </w:tcPr>
          <w:p w14:paraId="65D2863A">
            <w:pPr>
              <w:jc w:val="center"/>
            </w:pPr>
            <w:r>
              <w:rPr>
                <w:rFonts w:hint="eastAsia"/>
              </w:rPr>
              <w:t xml:space="preserve">                                                （签章）</w:t>
            </w:r>
          </w:p>
        </w:tc>
      </w:tr>
      <w:tr w14:paraId="2C42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14:paraId="7071CE5C">
            <w:pPr>
              <w:jc w:val="center"/>
            </w:pPr>
          </w:p>
        </w:tc>
        <w:tc>
          <w:tcPr>
            <w:tcW w:w="1995" w:type="dxa"/>
            <w:vAlign w:val="center"/>
          </w:tcPr>
          <w:p w14:paraId="588E7602">
            <w:pPr>
              <w:jc w:val="center"/>
            </w:pPr>
            <w:r>
              <w:rPr>
                <w:rFonts w:hint="eastAsia"/>
              </w:rPr>
              <w:t>住  所</w:t>
            </w:r>
          </w:p>
          <w:p w14:paraId="5634E401">
            <w:pPr>
              <w:jc w:val="center"/>
            </w:pPr>
            <w:r>
              <w:rPr>
                <w:rFonts w:hint="eastAsia"/>
              </w:rPr>
              <w:t>（通讯地址）</w:t>
            </w:r>
          </w:p>
        </w:tc>
        <w:tc>
          <w:tcPr>
            <w:tcW w:w="6615" w:type="dxa"/>
            <w:gridSpan w:val="6"/>
            <w:vAlign w:val="center"/>
          </w:tcPr>
          <w:p w14:paraId="69558999">
            <w:pPr>
              <w:jc w:val="center"/>
            </w:pPr>
          </w:p>
        </w:tc>
      </w:tr>
      <w:tr w14:paraId="5D12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2F91B5F2">
            <w:pPr>
              <w:jc w:val="center"/>
            </w:pPr>
          </w:p>
        </w:tc>
        <w:tc>
          <w:tcPr>
            <w:tcW w:w="1995" w:type="dxa"/>
            <w:vAlign w:val="center"/>
          </w:tcPr>
          <w:p w14:paraId="6A0E3BEA">
            <w:pPr>
              <w:jc w:val="center"/>
            </w:pPr>
            <w:r>
              <w:rPr>
                <w:rFonts w:hint="eastAsia"/>
              </w:rPr>
              <w:t>电  话</w:t>
            </w:r>
          </w:p>
        </w:tc>
        <w:tc>
          <w:tcPr>
            <w:tcW w:w="2835" w:type="dxa"/>
            <w:gridSpan w:val="3"/>
            <w:vAlign w:val="center"/>
          </w:tcPr>
          <w:p w14:paraId="10FDD995">
            <w:pPr>
              <w:jc w:val="center"/>
            </w:pPr>
          </w:p>
        </w:tc>
        <w:tc>
          <w:tcPr>
            <w:tcW w:w="1029" w:type="dxa"/>
            <w:vAlign w:val="center"/>
          </w:tcPr>
          <w:p w14:paraId="2CFA75F0">
            <w:pPr>
              <w:jc w:val="center"/>
            </w:pPr>
            <w:r>
              <w:rPr>
                <w:rFonts w:hint="eastAsia"/>
              </w:rPr>
              <w:t>电  挂</w:t>
            </w:r>
          </w:p>
        </w:tc>
        <w:tc>
          <w:tcPr>
            <w:tcW w:w="2751" w:type="dxa"/>
            <w:gridSpan w:val="2"/>
            <w:vAlign w:val="center"/>
          </w:tcPr>
          <w:p w14:paraId="49795C2D">
            <w:pPr>
              <w:jc w:val="center"/>
            </w:pPr>
          </w:p>
        </w:tc>
      </w:tr>
      <w:tr w14:paraId="2B48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5EBFC0CC">
            <w:pPr>
              <w:jc w:val="center"/>
            </w:pPr>
          </w:p>
        </w:tc>
        <w:tc>
          <w:tcPr>
            <w:tcW w:w="1995" w:type="dxa"/>
            <w:vAlign w:val="center"/>
          </w:tcPr>
          <w:p w14:paraId="05FD9DC3">
            <w:pPr>
              <w:jc w:val="center"/>
            </w:pPr>
            <w:r>
              <w:rPr>
                <w:rFonts w:hint="eastAsia"/>
              </w:rPr>
              <w:t>开户银行</w:t>
            </w:r>
          </w:p>
        </w:tc>
        <w:tc>
          <w:tcPr>
            <w:tcW w:w="6615" w:type="dxa"/>
            <w:gridSpan w:val="6"/>
            <w:vAlign w:val="center"/>
          </w:tcPr>
          <w:p w14:paraId="6AD1E590">
            <w:pPr>
              <w:jc w:val="center"/>
            </w:pPr>
          </w:p>
        </w:tc>
      </w:tr>
      <w:tr w14:paraId="545A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D816BE5">
            <w:pPr>
              <w:jc w:val="center"/>
            </w:pPr>
          </w:p>
        </w:tc>
        <w:tc>
          <w:tcPr>
            <w:tcW w:w="1995" w:type="dxa"/>
            <w:vAlign w:val="center"/>
          </w:tcPr>
          <w:p w14:paraId="1C3501ED">
            <w:pPr>
              <w:jc w:val="center"/>
            </w:pPr>
            <w:r>
              <w:rPr>
                <w:rFonts w:hint="eastAsia"/>
              </w:rPr>
              <w:t>帐  号</w:t>
            </w:r>
          </w:p>
        </w:tc>
        <w:tc>
          <w:tcPr>
            <w:tcW w:w="2835" w:type="dxa"/>
            <w:gridSpan w:val="3"/>
            <w:vAlign w:val="center"/>
          </w:tcPr>
          <w:p w14:paraId="6592E0EA">
            <w:pPr>
              <w:jc w:val="center"/>
            </w:pPr>
          </w:p>
        </w:tc>
        <w:tc>
          <w:tcPr>
            <w:tcW w:w="1365" w:type="dxa"/>
            <w:gridSpan w:val="2"/>
            <w:vAlign w:val="center"/>
          </w:tcPr>
          <w:p w14:paraId="4DF47B5E">
            <w:pPr>
              <w:jc w:val="center"/>
            </w:pPr>
            <w:r>
              <w:rPr>
                <w:rFonts w:hint="eastAsia"/>
              </w:rPr>
              <w:t>邮政编码</w:t>
            </w:r>
          </w:p>
        </w:tc>
        <w:tc>
          <w:tcPr>
            <w:tcW w:w="2415" w:type="dxa"/>
            <w:vAlign w:val="center"/>
          </w:tcPr>
          <w:p w14:paraId="0FA4E2CE">
            <w:pPr>
              <w:jc w:val="center"/>
            </w:pPr>
          </w:p>
        </w:tc>
      </w:tr>
    </w:tbl>
    <w:p w14:paraId="16A74BF4">
      <w:pPr>
        <w:spacing w:line="360" w:lineRule="auto"/>
        <w:jc w:val="center"/>
        <w:rPr>
          <w:sz w:val="30"/>
        </w:rPr>
      </w:pPr>
    </w:p>
    <w:p w14:paraId="15D2A672">
      <w:pPr>
        <w:spacing w:line="360" w:lineRule="auto"/>
        <w:jc w:val="center"/>
        <w:rPr>
          <w:sz w:val="30"/>
        </w:rPr>
      </w:pPr>
    </w:p>
    <w:p w14:paraId="4A4DF3DB">
      <w:pPr>
        <w:spacing w:line="360" w:lineRule="auto"/>
        <w:outlineLvl w:val="0"/>
        <w:rPr>
          <w:rFonts w:eastAsia="黑体"/>
          <w:sz w:val="30"/>
          <w:u w:val="single"/>
        </w:rPr>
      </w:pPr>
      <w:r>
        <w:rPr>
          <w:rFonts w:hint="eastAsia" w:eastAsia="黑体"/>
          <w:sz w:val="30"/>
          <w:u w:val="single"/>
        </w:rPr>
        <w:t>附件一 补充名词和术语</w:t>
      </w:r>
    </w:p>
    <w:p w14:paraId="44FC0484">
      <w:pPr>
        <w:spacing w:line="360" w:lineRule="auto"/>
        <w:rPr>
          <w:rFonts w:eastAsia="黑体"/>
          <w:sz w:val="30"/>
          <w:u w:val="single"/>
        </w:rPr>
      </w:pPr>
    </w:p>
    <w:p w14:paraId="37226D11">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31A448A1">
      <w:pPr>
        <w:spacing w:line="360" w:lineRule="auto"/>
        <w:outlineLvl w:val="0"/>
        <w:rPr>
          <w:rFonts w:eastAsia="黑体"/>
          <w:sz w:val="30"/>
          <w:u w:val="single"/>
        </w:rPr>
      </w:pPr>
      <w:r>
        <w:rPr>
          <w:rFonts w:hint="eastAsia" w:eastAsia="黑体"/>
          <w:sz w:val="30"/>
          <w:u w:val="single"/>
        </w:rPr>
        <w:t>附件二 许可专利清单</w:t>
      </w:r>
    </w:p>
    <w:p w14:paraId="2B8730DF">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14:paraId="2E81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14:paraId="5828D0EC">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14:paraId="7CDE9A8D">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14:paraId="2D528970">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14:paraId="7DDFCD95">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14:paraId="0F6F88AC">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14:paraId="24A32B2A">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14:paraId="14547D84">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14:paraId="396F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B2226BB">
            <w:pPr>
              <w:widowControl/>
              <w:adjustRightInd w:val="0"/>
              <w:snapToGrid w:val="0"/>
              <w:spacing w:line="276" w:lineRule="auto"/>
              <w:rPr>
                <w:rFonts w:ascii="宋体" w:hAnsi="宋体"/>
                <w:sz w:val="20"/>
                <w:szCs w:val="28"/>
              </w:rPr>
            </w:pPr>
          </w:p>
        </w:tc>
        <w:tc>
          <w:tcPr>
            <w:tcW w:w="1701" w:type="dxa"/>
          </w:tcPr>
          <w:p w14:paraId="61C362CD">
            <w:pPr>
              <w:widowControl/>
              <w:adjustRightInd w:val="0"/>
              <w:snapToGrid w:val="0"/>
              <w:spacing w:line="276" w:lineRule="auto"/>
              <w:rPr>
                <w:rFonts w:ascii="宋体" w:hAnsi="宋体"/>
                <w:sz w:val="20"/>
                <w:szCs w:val="28"/>
              </w:rPr>
            </w:pPr>
          </w:p>
        </w:tc>
        <w:tc>
          <w:tcPr>
            <w:tcW w:w="1134" w:type="dxa"/>
          </w:tcPr>
          <w:p w14:paraId="52605760">
            <w:pPr>
              <w:widowControl/>
              <w:adjustRightInd w:val="0"/>
              <w:snapToGrid w:val="0"/>
              <w:spacing w:line="276" w:lineRule="auto"/>
              <w:rPr>
                <w:rFonts w:ascii="宋体" w:hAnsi="宋体"/>
                <w:sz w:val="20"/>
                <w:szCs w:val="28"/>
              </w:rPr>
            </w:pPr>
          </w:p>
        </w:tc>
        <w:tc>
          <w:tcPr>
            <w:tcW w:w="1134" w:type="dxa"/>
          </w:tcPr>
          <w:p w14:paraId="4B26CE0E">
            <w:pPr>
              <w:widowControl/>
              <w:adjustRightInd w:val="0"/>
              <w:snapToGrid w:val="0"/>
              <w:spacing w:line="276" w:lineRule="auto"/>
              <w:rPr>
                <w:rFonts w:ascii="宋体" w:hAnsi="宋体"/>
                <w:sz w:val="20"/>
                <w:szCs w:val="28"/>
              </w:rPr>
            </w:pPr>
          </w:p>
        </w:tc>
        <w:tc>
          <w:tcPr>
            <w:tcW w:w="1276" w:type="dxa"/>
          </w:tcPr>
          <w:p w14:paraId="6587863D">
            <w:pPr>
              <w:widowControl/>
              <w:adjustRightInd w:val="0"/>
              <w:snapToGrid w:val="0"/>
              <w:spacing w:line="276" w:lineRule="auto"/>
              <w:rPr>
                <w:rFonts w:ascii="宋体" w:hAnsi="宋体"/>
                <w:sz w:val="20"/>
                <w:szCs w:val="28"/>
              </w:rPr>
            </w:pPr>
          </w:p>
        </w:tc>
        <w:tc>
          <w:tcPr>
            <w:tcW w:w="1134" w:type="dxa"/>
          </w:tcPr>
          <w:p w14:paraId="46F72AA5">
            <w:pPr>
              <w:widowControl/>
              <w:adjustRightInd w:val="0"/>
              <w:snapToGrid w:val="0"/>
              <w:spacing w:line="276" w:lineRule="auto"/>
              <w:rPr>
                <w:rFonts w:ascii="宋体" w:hAnsi="宋体"/>
                <w:sz w:val="20"/>
                <w:szCs w:val="28"/>
              </w:rPr>
            </w:pPr>
          </w:p>
        </w:tc>
        <w:tc>
          <w:tcPr>
            <w:tcW w:w="850" w:type="dxa"/>
          </w:tcPr>
          <w:p w14:paraId="46033A78">
            <w:pPr>
              <w:widowControl/>
              <w:adjustRightInd w:val="0"/>
              <w:snapToGrid w:val="0"/>
              <w:spacing w:line="276" w:lineRule="auto"/>
              <w:rPr>
                <w:rFonts w:ascii="宋体" w:hAnsi="宋体"/>
                <w:sz w:val="20"/>
                <w:szCs w:val="28"/>
              </w:rPr>
            </w:pPr>
          </w:p>
        </w:tc>
      </w:tr>
      <w:tr w14:paraId="6B7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0702103">
            <w:pPr>
              <w:widowControl/>
              <w:adjustRightInd w:val="0"/>
              <w:snapToGrid w:val="0"/>
              <w:spacing w:line="276" w:lineRule="auto"/>
              <w:rPr>
                <w:rFonts w:ascii="宋体" w:hAnsi="宋体"/>
                <w:sz w:val="20"/>
                <w:szCs w:val="28"/>
              </w:rPr>
            </w:pPr>
          </w:p>
        </w:tc>
        <w:tc>
          <w:tcPr>
            <w:tcW w:w="1701" w:type="dxa"/>
          </w:tcPr>
          <w:p w14:paraId="75FAD1CE">
            <w:pPr>
              <w:widowControl/>
              <w:adjustRightInd w:val="0"/>
              <w:snapToGrid w:val="0"/>
              <w:spacing w:line="276" w:lineRule="auto"/>
              <w:rPr>
                <w:rFonts w:ascii="宋体" w:hAnsi="宋体"/>
                <w:sz w:val="20"/>
                <w:szCs w:val="28"/>
              </w:rPr>
            </w:pPr>
          </w:p>
        </w:tc>
        <w:tc>
          <w:tcPr>
            <w:tcW w:w="1134" w:type="dxa"/>
          </w:tcPr>
          <w:p w14:paraId="40E469D4">
            <w:pPr>
              <w:widowControl/>
              <w:adjustRightInd w:val="0"/>
              <w:snapToGrid w:val="0"/>
              <w:spacing w:line="276" w:lineRule="auto"/>
              <w:rPr>
                <w:rFonts w:ascii="宋体" w:hAnsi="宋体"/>
                <w:sz w:val="20"/>
                <w:szCs w:val="28"/>
              </w:rPr>
            </w:pPr>
          </w:p>
        </w:tc>
        <w:tc>
          <w:tcPr>
            <w:tcW w:w="1134" w:type="dxa"/>
          </w:tcPr>
          <w:p w14:paraId="0B7C6A5E">
            <w:pPr>
              <w:widowControl/>
              <w:adjustRightInd w:val="0"/>
              <w:snapToGrid w:val="0"/>
              <w:spacing w:line="276" w:lineRule="auto"/>
              <w:rPr>
                <w:rFonts w:ascii="宋体" w:hAnsi="宋体"/>
                <w:sz w:val="20"/>
                <w:szCs w:val="28"/>
              </w:rPr>
            </w:pPr>
          </w:p>
        </w:tc>
        <w:tc>
          <w:tcPr>
            <w:tcW w:w="1276" w:type="dxa"/>
          </w:tcPr>
          <w:p w14:paraId="30732D23">
            <w:pPr>
              <w:widowControl/>
              <w:adjustRightInd w:val="0"/>
              <w:snapToGrid w:val="0"/>
              <w:spacing w:line="276" w:lineRule="auto"/>
              <w:rPr>
                <w:rFonts w:ascii="宋体" w:hAnsi="宋体"/>
                <w:sz w:val="20"/>
                <w:szCs w:val="28"/>
              </w:rPr>
            </w:pPr>
          </w:p>
        </w:tc>
        <w:tc>
          <w:tcPr>
            <w:tcW w:w="1134" w:type="dxa"/>
          </w:tcPr>
          <w:p w14:paraId="105C1F9D">
            <w:pPr>
              <w:widowControl/>
              <w:adjustRightInd w:val="0"/>
              <w:snapToGrid w:val="0"/>
              <w:spacing w:line="276" w:lineRule="auto"/>
              <w:rPr>
                <w:rFonts w:ascii="宋体" w:hAnsi="宋体"/>
                <w:sz w:val="20"/>
                <w:szCs w:val="28"/>
              </w:rPr>
            </w:pPr>
          </w:p>
        </w:tc>
        <w:tc>
          <w:tcPr>
            <w:tcW w:w="850" w:type="dxa"/>
          </w:tcPr>
          <w:p w14:paraId="652220A3">
            <w:pPr>
              <w:widowControl/>
              <w:adjustRightInd w:val="0"/>
              <w:snapToGrid w:val="0"/>
              <w:spacing w:line="276" w:lineRule="auto"/>
              <w:rPr>
                <w:rFonts w:ascii="宋体" w:hAnsi="宋体"/>
                <w:sz w:val="20"/>
                <w:szCs w:val="28"/>
              </w:rPr>
            </w:pPr>
          </w:p>
        </w:tc>
      </w:tr>
      <w:tr w14:paraId="7779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70E0CCD">
            <w:pPr>
              <w:widowControl/>
              <w:adjustRightInd w:val="0"/>
              <w:snapToGrid w:val="0"/>
              <w:spacing w:line="276" w:lineRule="auto"/>
              <w:rPr>
                <w:rFonts w:ascii="宋体" w:hAnsi="宋体"/>
                <w:sz w:val="20"/>
                <w:szCs w:val="28"/>
              </w:rPr>
            </w:pPr>
          </w:p>
        </w:tc>
        <w:tc>
          <w:tcPr>
            <w:tcW w:w="1701" w:type="dxa"/>
          </w:tcPr>
          <w:p w14:paraId="7AD5D427">
            <w:pPr>
              <w:widowControl/>
              <w:adjustRightInd w:val="0"/>
              <w:snapToGrid w:val="0"/>
              <w:spacing w:line="276" w:lineRule="auto"/>
              <w:rPr>
                <w:rFonts w:ascii="宋体" w:hAnsi="宋体"/>
                <w:sz w:val="20"/>
                <w:szCs w:val="28"/>
              </w:rPr>
            </w:pPr>
          </w:p>
        </w:tc>
        <w:tc>
          <w:tcPr>
            <w:tcW w:w="1134" w:type="dxa"/>
          </w:tcPr>
          <w:p w14:paraId="28D4364E">
            <w:pPr>
              <w:widowControl/>
              <w:adjustRightInd w:val="0"/>
              <w:snapToGrid w:val="0"/>
              <w:spacing w:line="276" w:lineRule="auto"/>
              <w:rPr>
                <w:rFonts w:ascii="宋体" w:hAnsi="宋体"/>
                <w:sz w:val="20"/>
                <w:szCs w:val="28"/>
              </w:rPr>
            </w:pPr>
          </w:p>
        </w:tc>
        <w:tc>
          <w:tcPr>
            <w:tcW w:w="1134" w:type="dxa"/>
          </w:tcPr>
          <w:p w14:paraId="3DC7FDBD">
            <w:pPr>
              <w:widowControl/>
              <w:adjustRightInd w:val="0"/>
              <w:snapToGrid w:val="0"/>
              <w:spacing w:line="276" w:lineRule="auto"/>
              <w:rPr>
                <w:rFonts w:ascii="宋体" w:hAnsi="宋体"/>
                <w:sz w:val="20"/>
                <w:szCs w:val="28"/>
              </w:rPr>
            </w:pPr>
          </w:p>
        </w:tc>
        <w:tc>
          <w:tcPr>
            <w:tcW w:w="1276" w:type="dxa"/>
          </w:tcPr>
          <w:p w14:paraId="216EC555">
            <w:pPr>
              <w:widowControl/>
              <w:adjustRightInd w:val="0"/>
              <w:snapToGrid w:val="0"/>
              <w:spacing w:line="276" w:lineRule="auto"/>
              <w:rPr>
                <w:rFonts w:ascii="宋体" w:hAnsi="宋体"/>
                <w:sz w:val="20"/>
                <w:szCs w:val="28"/>
              </w:rPr>
            </w:pPr>
          </w:p>
        </w:tc>
        <w:tc>
          <w:tcPr>
            <w:tcW w:w="1134" w:type="dxa"/>
          </w:tcPr>
          <w:p w14:paraId="0FD506BD">
            <w:pPr>
              <w:widowControl/>
              <w:adjustRightInd w:val="0"/>
              <w:snapToGrid w:val="0"/>
              <w:spacing w:line="276" w:lineRule="auto"/>
              <w:rPr>
                <w:rFonts w:ascii="宋体" w:hAnsi="宋体"/>
                <w:sz w:val="20"/>
                <w:szCs w:val="28"/>
              </w:rPr>
            </w:pPr>
          </w:p>
        </w:tc>
        <w:tc>
          <w:tcPr>
            <w:tcW w:w="850" w:type="dxa"/>
          </w:tcPr>
          <w:p w14:paraId="01C1FB77">
            <w:pPr>
              <w:widowControl/>
              <w:adjustRightInd w:val="0"/>
              <w:snapToGrid w:val="0"/>
              <w:spacing w:line="276" w:lineRule="auto"/>
              <w:rPr>
                <w:rFonts w:ascii="宋体" w:hAnsi="宋体"/>
                <w:sz w:val="20"/>
                <w:szCs w:val="28"/>
              </w:rPr>
            </w:pPr>
          </w:p>
        </w:tc>
      </w:tr>
      <w:tr w14:paraId="1792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3F2248A">
            <w:pPr>
              <w:widowControl/>
              <w:adjustRightInd w:val="0"/>
              <w:snapToGrid w:val="0"/>
              <w:spacing w:line="276" w:lineRule="auto"/>
              <w:rPr>
                <w:rFonts w:ascii="宋体" w:hAnsi="宋体"/>
                <w:sz w:val="20"/>
                <w:szCs w:val="28"/>
              </w:rPr>
            </w:pPr>
          </w:p>
          <w:p w14:paraId="10BE9645">
            <w:pPr>
              <w:widowControl/>
              <w:adjustRightInd w:val="0"/>
              <w:snapToGrid w:val="0"/>
              <w:spacing w:line="276" w:lineRule="auto"/>
              <w:rPr>
                <w:rFonts w:ascii="宋体" w:hAnsi="宋体"/>
                <w:sz w:val="20"/>
                <w:szCs w:val="28"/>
              </w:rPr>
            </w:pPr>
          </w:p>
        </w:tc>
        <w:tc>
          <w:tcPr>
            <w:tcW w:w="1701" w:type="dxa"/>
          </w:tcPr>
          <w:p w14:paraId="2E2D2AEF">
            <w:pPr>
              <w:widowControl/>
              <w:adjustRightInd w:val="0"/>
              <w:snapToGrid w:val="0"/>
              <w:spacing w:line="276" w:lineRule="auto"/>
              <w:rPr>
                <w:rFonts w:ascii="宋体" w:hAnsi="宋体"/>
                <w:sz w:val="20"/>
                <w:szCs w:val="28"/>
              </w:rPr>
            </w:pPr>
          </w:p>
        </w:tc>
        <w:tc>
          <w:tcPr>
            <w:tcW w:w="1134" w:type="dxa"/>
          </w:tcPr>
          <w:p w14:paraId="30CF1EE4">
            <w:pPr>
              <w:widowControl/>
              <w:adjustRightInd w:val="0"/>
              <w:snapToGrid w:val="0"/>
              <w:spacing w:line="276" w:lineRule="auto"/>
              <w:rPr>
                <w:rFonts w:ascii="宋体" w:hAnsi="宋体"/>
                <w:sz w:val="20"/>
                <w:szCs w:val="28"/>
              </w:rPr>
            </w:pPr>
          </w:p>
        </w:tc>
        <w:tc>
          <w:tcPr>
            <w:tcW w:w="1134" w:type="dxa"/>
          </w:tcPr>
          <w:p w14:paraId="623D94A4">
            <w:pPr>
              <w:widowControl/>
              <w:adjustRightInd w:val="0"/>
              <w:snapToGrid w:val="0"/>
              <w:spacing w:line="276" w:lineRule="auto"/>
              <w:rPr>
                <w:rFonts w:ascii="宋体" w:hAnsi="宋体"/>
                <w:sz w:val="20"/>
                <w:szCs w:val="28"/>
              </w:rPr>
            </w:pPr>
          </w:p>
        </w:tc>
        <w:tc>
          <w:tcPr>
            <w:tcW w:w="1276" w:type="dxa"/>
          </w:tcPr>
          <w:p w14:paraId="66C73351">
            <w:pPr>
              <w:widowControl/>
              <w:adjustRightInd w:val="0"/>
              <w:snapToGrid w:val="0"/>
              <w:spacing w:line="276" w:lineRule="auto"/>
              <w:rPr>
                <w:rFonts w:ascii="宋体" w:hAnsi="宋体"/>
                <w:sz w:val="20"/>
                <w:szCs w:val="28"/>
              </w:rPr>
            </w:pPr>
          </w:p>
        </w:tc>
        <w:tc>
          <w:tcPr>
            <w:tcW w:w="1134" w:type="dxa"/>
          </w:tcPr>
          <w:p w14:paraId="4EDAA588">
            <w:pPr>
              <w:widowControl/>
              <w:adjustRightInd w:val="0"/>
              <w:snapToGrid w:val="0"/>
              <w:spacing w:line="276" w:lineRule="auto"/>
              <w:rPr>
                <w:rFonts w:ascii="宋体" w:hAnsi="宋体"/>
                <w:sz w:val="20"/>
                <w:szCs w:val="28"/>
              </w:rPr>
            </w:pPr>
          </w:p>
        </w:tc>
        <w:tc>
          <w:tcPr>
            <w:tcW w:w="850" w:type="dxa"/>
          </w:tcPr>
          <w:p w14:paraId="39D1398A">
            <w:pPr>
              <w:widowControl/>
              <w:adjustRightInd w:val="0"/>
              <w:snapToGrid w:val="0"/>
              <w:spacing w:line="276" w:lineRule="auto"/>
              <w:rPr>
                <w:rFonts w:ascii="宋体" w:hAnsi="宋体"/>
                <w:sz w:val="20"/>
                <w:szCs w:val="28"/>
              </w:rPr>
            </w:pPr>
          </w:p>
        </w:tc>
      </w:tr>
    </w:tbl>
    <w:p w14:paraId="6A8F7A83">
      <w:pPr>
        <w:spacing w:line="360" w:lineRule="auto"/>
        <w:rPr>
          <w:rFonts w:eastAsia="黑体"/>
          <w:sz w:val="30"/>
          <w:u w:val="single"/>
        </w:rPr>
      </w:pPr>
    </w:p>
    <w:p w14:paraId="4B11D9E9">
      <w:pPr>
        <w:spacing w:line="360" w:lineRule="auto"/>
        <w:rPr>
          <w:rFonts w:eastAsia="黑体"/>
          <w:sz w:val="30"/>
          <w:u w:val="single"/>
        </w:rPr>
      </w:pPr>
    </w:p>
    <w:p w14:paraId="24918517">
      <w:pPr>
        <w:spacing w:line="360" w:lineRule="auto"/>
        <w:rPr>
          <w:rFonts w:eastAsia="黑体"/>
          <w:sz w:val="30"/>
          <w:u w:val="single"/>
        </w:rPr>
      </w:pPr>
    </w:p>
    <w:p w14:paraId="1DCD6AC5">
      <w:pPr>
        <w:spacing w:line="360" w:lineRule="auto"/>
        <w:rPr>
          <w:rFonts w:eastAsia="黑体"/>
          <w:sz w:val="30"/>
          <w:u w:val="single"/>
        </w:rPr>
      </w:pPr>
    </w:p>
    <w:p w14:paraId="4ADE56DE">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6D1BC7CB">
      <w:pPr>
        <w:spacing w:line="360" w:lineRule="auto"/>
        <w:outlineLvl w:val="0"/>
        <w:rPr>
          <w:rFonts w:eastAsia="黑体"/>
          <w:sz w:val="30"/>
          <w:u w:val="single"/>
        </w:rPr>
      </w:pPr>
      <w:r>
        <w:rPr>
          <w:rFonts w:hint="eastAsia" w:eastAsia="黑体"/>
          <w:sz w:val="30"/>
          <w:u w:val="single"/>
        </w:rPr>
        <w:t>附件三 里程碑付款条件</w:t>
      </w:r>
    </w:p>
    <w:p w14:paraId="76BC8923">
      <w:pPr>
        <w:spacing w:line="360" w:lineRule="auto"/>
        <w:rPr>
          <w:rFonts w:eastAsia="黑体"/>
          <w:sz w:val="30"/>
          <w:u w:val="singl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914"/>
      </w:tblGrid>
      <w:tr w14:paraId="183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58" w:type="dxa"/>
            <w:shd w:val="clear" w:color="auto" w:fill="D9D9D9"/>
          </w:tcPr>
          <w:p w14:paraId="7470079C">
            <w:pPr>
              <w:widowControl/>
              <w:adjustRightInd w:val="0"/>
              <w:snapToGrid w:val="0"/>
              <w:spacing w:line="276" w:lineRule="auto"/>
              <w:jc w:val="center"/>
              <w:rPr>
                <w:rFonts w:ascii="宋体" w:hAnsi="宋体"/>
                <w:b/>
                <w:sz w:val="20"/>
                <w:szCs w:val="21"/>
              </w:rPr>
            </w:pPr>
            <w:r>
              <w:rPr>
                <w:rFonts w:hint="eastAsia" w:ascii="宋体" w:hAnsi="宋体"/>
                <w:b/>
                <w:sz w:val="20"/>
                <w:szCs w:val="21"/>
              </w:rPr>
              <w:t>里程碑事件（</w:t>
            </w:r>
            <w:r>
              <w:rPr>
                <w:rFonts w:ascii="宋体" w:hAnsi="宋体"/>
                <w:b/>
                <w:sz w:val="20"/>
                <w:szCs w:val="21"/>
              </w:rPr>
              <w:t>付款条件</w:t>
            </w:r>
            <w:r>
              <w:rPr>
                <w:rFonts w:hint="eastAsia" w:ascii="宋体" w:hAnsi="宋体"/>
                <w:b/>
                <w:sz w:val="20"/>
                <w:szCs w:val="21"/>
              </w:rPr>
              <w:t>）</w:t>
            </w:r>
          </w:p>
        </w:tc>
        <w:tc>
          <w:tcPr>
            <w:tcW w:w="4914" w:type="dxa"/>
            <w:shd w:val="clear" w:color="auto" w:fill="D9D9D9"/>
          </w:tcPr>
          <w:p w14:paraId="275D1758">
            <w:pPr>
              <w:widowControl/>
              <w:adjustRightInd w:val="0"/>
              <w:snapToGrid w:val="0"/>
              <w:spacing w:line="276" w:lineRule="auto"/>
              <w:jc w:val="center"/>
              <w:rPr>
                <w:rFonts w:ascii="宋体" w:hAnsi="宋体"/>
                <w:b/>
                <w:sz w:val="20"/>
                <w:szCs w:val="21"/>
              </w:rPr>
            </w:pPr>
            <w:r>
              <w:rPr>
                <w:rFonts w:hint="eastAsia" w:ascii="宋体" w:hAnsi="宋体"/>
                <w:b/>
                <w:sz w:val="20"/>
                <w:szCs w:val="21"/>
              </w:rPr>
              <w:t>付款</w:t>
            </w:r>
            <w:r>
              <w:rPr>
                <w:rFonts w:ascii="宋体" w:hAnsi="宋体"/>
                <w:b/>
                <w:sz w:val="20"/>
                <w:szCs w:val="21"/>
              </w:rPr>
              <w:t>金额</w:t>
            </w:r>
          </w:p>
        </w:tc>
      </w:tr>
      <w:tr w14:paraId="7FA1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5DFEFFC5">
            <w:pPr>
              <w:widowControl/>
              <w:adjustRightInd w:val="0"/>
              <w:snapToGrid w:val="0"/>
              <w:spacing w:line="276" w:lineRule="auto"/>
              <w:rPr>
                <w:rFonts w:ascii="宋体" w:hAnsi="宋体"/>
                <w:sz w:val="20"/>
                <w:szCs w:val="21"/>
              </w:rPr>
            </w:pPr>
          </w:p>
        </w:tc>
        <w:tc>
          <w:tcPr>
            <w:tcW w:w="4914" w:type="dxa"/>
          </w:tcPr>
          <w:p w14:paraId="6FAE9557">
            <w:pPr>
              <w:widowControl/>
              <w:adjustRightInd w:val="0"/>
              <w:snapToGrid w:val="0"/>
              <w:spacing w:line="276" w:lineRule="auto"/>
              <w:rPr>
                <w:rFonts w:ascii="宋体" w:hAnsi="宋体"/>
                <w:sz w:val="20"/>
                <w:szCs w:val="21"/>
              </w:rPr>
            </w:pPr>
          </w:p>
        </w:tc>
      </w:tr>
      <w:tr w14:paraId="170C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51964A27">
            <w:pPr>
              <w:widowControl/>
              <w:adjustRightInd w:val="0"/>
              <w:snapToGrid w:val="0"/>
              <w:spacing w:line="276" w:lineRule="auto"/>
              <w:rPr>
                <w:rFonts w:ascii="宋体" w:hAnsi="宋体"/>
                <w:sz w:val="20"/>
                <w:szCs w:val="21"/>
              </w:rPr>
            </w:pPr>
          </w:p>
        </w:tc>
        <w:tc>
          <w:tcPr>
            <w:tcW w:w="4914" w:type="dxa"/>
          </w:tcPr>
          <w:p w14:paraId="57F098F3">
            <w:pPr>
              <w:widowControl/>
              <w:adjustRightInd w:val="0"/>
              <w:snapToGrid w:val="0"/>
              <w:spacing w:line="276" w:lineRule="auto"/>
              <w:rPr>
                <w:rFonts w:ascii="宋体" w:hAnsi="宋体"/>
                <w:sz w:val="20"/>
                <w:szCs w:val="21"/>
              </w:rPr>
            </w:pPr>
          </w:p>
        </w:tc>
      </w:tr>
      <w:tr w14:paraId="7C8D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57470637">
            <w:pPr>
              <w:widowControl/>
              <w:adjustRightInd w:val="0"/>
              <w:snapToGrid w:val="0"/>
              <w:spacing w:line="276" w:lineRule="auto"/>
              <w:rPr>
                <w:rFonts w:ascii="宋体" w:hAnsi="宋体"/>
                <w:sz w:val="20"/>
                <w:szCs w:val="21"/>
              </w:rPr>
            </w:pPr>
          </w:p>
        </w:tc>
        <w:tc>
          <w:tcPr>
            <w:tcW w:w="4914" w:type="dxa"/>
          </w:tcPr>
          <w:p w14:paraId="07C8ED11">
            <w:pPr>
              <w:widowControl/>
              <w:adjustRightInd w:val="0"/>
              <w:snapToGrid w:val="0"/>
              <w:spacing w:line="276" w:lineRule="auto"/>
              <w:rPr>
                <w:rFonts w:ascii="宋体" w:hAnsi="宋体"/>
                <w:sz w:val="20"/>
                <w:szCs w:val="21"/>
              </w:rPr>
            </w:pPr>
          </w:p>
        </w:tc>
      </w:tr>
    </w:tbl>
    <w:p w14:paraId="7CA3262F">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24AF215A">
      <w:pPr>
        <w:spacing w:line="360" w:lineRule="auto"/>
        <w:outlineLvl w:val="0"/>
        <w:rPr>
          <w:rFonts w:eastAsia="黑体"/>
          <w:sz w:val="30"/>
          <w:u w:val="single"/>
        </w:rPr>
      </w:pPr>
      <w:r>
        <w:rPr>
          <w:rFonts w:hint="eastAsia" w:eastAsia="黑体"/>
          <w:sz w:val="30"/>
          <w:u w:val="single"/>
        </w:rPr>
        <w:t>附件四 许可产品清单/确认方式</w:t>
      </w:r>
    </w:p>
    <w:p w14:paraId="40E26BA7">
      <w:pPr>
        <w:spacing w:line="360" w:lineRule="auto"/>
        <w:rPr>
          <w:rFonts w:eastAsia="黑体"/>
          <w:sz w:val="30"/>
          <w:u w:val="single"/>
        </w:rPr>
      </w:pPr>
    </w:p>
    <w:p w14:paraId="738CDF36">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6A03C906">
      <w:pPr>
        <w:spacing w:line="360" w:lineRule="auto"/>
        <w:outlineLvl w:val="0"/>
        <w:rPr>
          <w:rFonts w:eastAsia="黑体"/>
          <w:sz w:val="30"/>
          <w:u w:val="single"/>
        </w:rPr>
      </w:pPr>
      <w:r>
        <w:rPr>
          <w:rFonts w:hint="eastAsia" w:eastAsia="黑体"/>
          <w:sz w:val="30"/>
          <w:u w:val="single"/>
        </w:rPr>
        <w:t>附件五 技术资料清单</w:t>
      </w:r>
    </w:p>
    <w:p w14:paraId="7689B72B">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53E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381E1CC1">
            <w:pPr>
              <w:widowControl/>
              <w:adjustRightInd w:val="0"/>
              <w:snapToGrid w:val="0"/>
              <w:spacing w:line="276" w:lineRule="auto"/>
              <w:jc w:val="center"/>
              <w:rPr>
                <w:rFonts w:ascii="宋体" w:hAnsi="宋体"/>
                <w:b/>
                <w:sz w:val="20"/>
                <w:szCs w:val="21"/>
              </w:rPr>
            </w:pPr>
            <w:r>
              <w:rPr>
                <w:rFonts w:hint="eastAsia" w:ascii="宋体" w:hAnsi="宋体"/>
                <w:b/>
                <w:sz w:val="20"/>
                <w:szCs w:val="21"/>
              </w:rPr>
              <w:t>技术资料</w:t>
            </w:r>
          </w:p>
        </w:tc>
        <w:tc>
          <w:tcPr>
            <w:tcW w:w="2594" w:type="dxa"/>
            <w:shd w:val="clear" w:color="auto" w:fill="D9D9D9"/>
          </w:tcPr>
          <w:p w14:paraId="6E44D365">
            <w:pPr>
              <w:widowControl/>
              <w:adjustRightInd w:val="0"/>
              <w:snapToGrid w:val="0"/>
              <w:spacing w:line="276" w:lineRule="auto"/>
              <w:jc w:val="center"/>
              <w:rPr>
                <w:rFonts w:ascii="宋体" w:hAnsi="宋体"/>
                <w:b/>
                <w:sz w:val="20"/>
                <w:szCs w:val="21"/>
              </w:rPr>
            </w:pPr>
            <w:r>
              <w:rPr>
                <w:rFonts w:hint="eastAsia" w:ascii="宋体" w:hAnsi="宋体"/>
                <w:b/>
                <w:sz w:val="20"/>
                <w:szCs w:val="21"/>
              </w:rPr>
              <w:t>交付流程</w:t>
            </w:r>
          </w:p>
        </w:tc>
        <w:tc>
          <w:tcPr>
            <w:tcW w:w="2578" w:type="dxa"/>
            <w:shd w:val="clear" w:color="auto" w:fill="D9D9D9"/>
          </w:tcPr>
          <w:p w14:paraId="33DF0D1E">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7557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547E1E00">
            <w:pPr>
              <w:widowControl/>
              <w:adjustRightInd w:val="0"/>
              <w:snapToGrid w:val="0"/>
              <w:spacing w:line="276" w:lineRule="auto"/>
              <w:rPr>
                <w:rFonts w:ascii="宋体" w:hAnsi="宋体"/>
                <w:sz w:val="20"/>
                <w:szCs w:val="21"/>
              </w:rPr>
            </w:pPr>
          </w:p>
        </w:tc>
        <w:tc>
          <w:tcPr>
            <w:tcW w:w="2594" w:type="dxa"/>
          </w:tcPr>
          <w:p w14:paraId="1D0E0530">
            <w:pPr>
              <w:widowControl/>
              <w:adjustRightInd w:val="0"/>
              <w:snapToGrid w:val="0"/>
              <w:spacing w:line="276" w:lineRule="auto"/>
              <w:rPr>
                <w:rFonts w:ascii="宋体" w:hAnsi="宋体"/>
                <w:sz w:val="20"/>
                <w:szCs w:val="21"/>
              </w:rPr>
            </w:pPr>
          </w:p>
        </w:tc>
        <w:tc>
          <w:tcPr>
            <w:tcW w:w="2578" w:type="dxa"/>
          </w:tcPr>
          <w:p w14:paraId="1D994B0C">
            <w:pPr>
              <w:widowControl/>
              <w:adjustRightInd w:val="0"/>
              <w:snapToGrid w:val="0"/>
              <w:spacing w:line="276" w:lineRule="auto"/>
              <w:rPr>
                <w:rFonts w:ascii="宋体" w:hAnsi="宋体"/>
                <w:sz w:val="20"/>
                <w:szCs w:val="21"/>
              </w:rPr>
            </w:pPr>
          </w:p>
        </w:tc>
      </w:tr>
      <w:tr w14:paraId="1BE9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3582BB6C">
            <w:pPr>
              <w:widowControl/>
              <w:adjustRightInd w:val="0"/>
              <w:snapToGrid w:val="0"/>
              <w:spacing w:line="276" w:lineRule="auto"/>
              <w:rPr>
                <w:rFonts w:ascii="宋体" w:hAnsi="宋体"/>
                <w:sz w:val="20"/>
                <w:szCs w:val="21"/>
              </w:rPr>
            </w:pPr>
          </w:p>
        </w:tc>
        <w:tc>
          <w:tcPr>
            <w:tcW w:w="2594" w:type="dxa"/>
          </w:tcPr>
          <w:p w14:paraId="2FD1CCA4">
            <w:pPr>
              <w:widowControl/>
              <w:adjustRightInd w:val="0"/>
              <w:snapToGrid w:val="0"/>
              <w:spacing w:line="276" w:lineRule="auto"/>
              <w:rPr>
                <w:rFonts w:ascii="宋体" w:hAnsi="宋体"/>
                <w:sz w:val="20"/>
                <w:szCs w:val="21"/>
              </w:rPr>
            </w:pPr>
          </w:p>
        </w:tc>
        <w:tc>
          <w:tcPr>
            <w:tcW w:w="2578" w:type="dxa"/>
          </w:tcPr>
          <w:p w14:paraId="18AE68A3">
            <w:pPr>
              <w:widowControl/>
              <w:adjustRightInd w:val="0"/>
              <w:snapToGrid w:val="0"/>
              <w:spacing w:line="276" w:lineRule="auto"/>
              <w:rPr>
                <w:rFonts w:ascii="宋体" w:hAnsi="宋体"/>
                <w:sz w:val="20"/>
                <w:szCs w:val="21"/>
              </w:rPr>
            </w:pPr>
          </w:p>
        </w:tc>
      </w:tr>
      <w:tr w14:paraId="55A0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30659578">
            <w:pPr>
              <w:widowControl/>
              <w:adjustRightInd w:val="0"/>
              <w:snapToGrid w:val="0"/>
              <w:spacing w:line="276" w:lineRule="auto"/>
              <w:rPr>
                <w:rFonts w:ascii="宋体" w:hAnsi="宋体"/>
                <w:sz w:val="20"/>
                <w:szCs w:val="21"/>
              </w:rPr>
            </w:pPr>
          </w:p>
        </w:tc>
        <w:tc>
          <w:tcPr>
            <w:tcW w:w="2594" w:type="dxa"/>
          </w:tcPr>
          <w:p w14:paraId="0D6F16B5">
            <w:pPr>
              <w:widowControl/>
              <w:adjustRightInd w:val="0"/>
              <w:snapToGrid w:val="0"/>
              <w:spacing w:line="276" w:lineRule="auto"/>
              <w:rPr>
                <w:rFonts w:ascii="宋体" w:hAnsi="宋体"/>
                <w:sz w:val="20"/>
                <w:szCs w:val="21"/>
              </w:rPr>
            </w:pPr>
          </w:p>
        </w:tc>
        <w:tc>
          <w:tcPr>
            <w:tcW w:w="2578" w:type="dxa"/>
          </w:tcPr>
          <w:p w14:paraId="177D9B16">
            <w:pPr>
              <w:widowControl/>
              <w:adjustRightInd w:val="0"/>
              <w:snapToGrid w:val="0"/>
              <w:spacing w:line="276" w:lineRule="auto"/>
              <w:rPr>
                <w:rFonts w:ascii="宋体" w:hAnsi="宋体"/>
                <w:sz w:val="20"/>
                <w:szCs w:val="21"/>
              </w:rPr>
            </w:pPr>
          </w:p>
        </w:tc>
      </w:tr>
    </w:tbl>
    <w:p w14:paraId="3456DDF8">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4BE678F7">
      <w:pPr>
        <w:spacing w:line="360" w:lineRule="auto"/>
        <w:outlineLvl w:val="0"/>
        <w:rPr>
          <w:rFonts w:eastAsia="黑体"/>
          <w:sz w:val="30"/>
          <w:u w:val="single"/>
        </w:rPr>
      </w:pPr>
      <w:r>
        <w:rPr>
          <w:rFonts w:hint="eastAsia" w:eastAsia="黑体"/>
          <w:sz w:val="30"/>
          <w:u w:val="single"/>
        </w:rPr>
        <w:t>附件六 技术服务/培训清单</w:t>
      </w:r>
    </w:p>
    <w:p w14:paraId="7878EBDE">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5E8A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0BB829F6">
            <w:pPr>
              <w:widowControl/>
              <w:adjustRightInd w:val="0"/>
              <w:snapToGrid w:val="0"/>
              <w:spacing w:line="276" w:lineRule="auto"/>
              <w:jc w:val="center"/>
              <w:rPr>
                <w:rFonts w:ascii="宋体" w:hAnsi="宋体"/>
                <w:b/>
                <w:sz w:val="20"/>
                <w:szCs w:val="21"/>
              </w:rPr>
            </w:pPr>
            <w:r>
              <w:rPr>
                <w:rFonts w:hint="eastAsia" w:ascii="宋体" w:hAnsi="宋体"/>
                <w:b/>
                <w:sz w:val="20"/>
                <w:szCs w:val="21"/>
              </w:rPr>
              <w:t>技术服务/培训内容</w:t>
            </w:r>
          </w:p>
        </w:tc>
        <w:tc>
          <w:tcPr>
            <w:tcW w:w="2594" w:type="dxa"/>
            <w:shd w:val="clear" w:color="auto" w:fill="D9D9D9"/>
          </w:tcPr>
          <w:p w14:paraId="4295D028">
            <w:pPr>
              <w:widowControl/>
              <w:adjustRightInd w:val="0"/>
              <w:snapToGrid w:val="0"/>
              <w:spacing w:line="276" w:lineRule="auto"/>
              <w:jc w:val="center"/>
              <w:rPr>
                <w:rFonts w:ascii="宋体" w:hAnsi="宋体"/>
                <w:b/>
                <w:sz w:val="20"/>
                <w:szCs w:val="21"/>
              </w:rPr>
            </w:pPr>
            <w:r>
              <w:rPr>
                <w:rFonts w:hint="eastAsia" w:ascii="宋体" w:hAnsi="宋体"/>
                <w:b/>
                <w:sz w:val="20"/>
                <w:szCs w:val="21"/>
              </w:rPr>
              <w:t>提供形式</w:t>
            </w:r>
          </w:p>
        </w:tc>
        <w:tc>
          <w:tcPr>
            <w:tcW w:w="2578" w:type="dxa"/>
            <w:shd w:val="clear" w:color="auto" w:fill="D9D9D9"/>
          </w:tcPr>
          <w:p w14:paraId="1888BE00">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263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77940C28">
            <w:pPr>
              <w:widowControl/>
              <w:adjustRightInd w:val="0"/>
              <w:snapToGrid w:val="0"/>
              <w:spacing w:line="276" w:lineRule="auto"/>
              <w:rPr>
                <w:rFonts w:ascii="宋体" w:hAnsi="宋体"/>
                <w:sz w:val="20"/>
                <w:szCs w:val="21"/>
              </w:rPr>
            </w:pPr>
          </w:p>
        </w:tc>
        <w:tc>
          <w:tcPr>
            <w:tcW w:w="2594" w:type="dxa"/>
          </w:tcPr>
          <w:p w14:paraId="0FD4575B">
            <w:pPr>
              <w:widowControl/>
              <w:adjustRightInd w:val="0"/>
              <w:snapToGrid w:val="0"/>
              <w:spacing w:line="276" w:lineRule="auto"/>
              <w:rPr>
                <w:rFonts w:ascii="宋体" w:hAnsi="宋体"/>
                <w:sz w:val="20"/>
                <w:szCs w:val="21"/>
              </w:rPr>
            </w:pPr>
          </w:p>
        </w:tc>
        <w:tc>
          <w:tcPr>
            <w:tcW w:w="2578" w:type="dxa"/>
          </w:tcPr>
          <w:p w14:paraId="44D6BDD3">
            <w:pPr>
              <w:widowControl/>
              <w:adjustRightInd w:val="0"/>
              <w:snapToGrid w:val="0"/>
              <w:spacing w:line="276" w:lineRule="auto"/>
              <w:rPr>
                <w:rFonts w:ascii="宋体" w:hAnsi="宋体"/>
                <w:sz w:val="20"/>
                <w:szCs w:val="21"/>
              </w:rPr>
            </w:pPr>
          </w:p>
        </w:tc>
      </w:tr>
      <w:tr w14:paraId="2628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tcPr>
          <w:p w14:paraId="2DB0E64B">
            <w:pPr>
              <w:widowControl/>
              <w:adjustRightInd w:val="0"/>
              <w:snapToGrid w:val="0"/>
              <w:spacing w:line="276" w:lineRule="auto"/>
              <w:rPr>
                <w:rFonts w:ascii="宋体" w:hAnsi="宋体"/>
                <w:sz w:val="20"/>
                <w:szCs w:val="21"/>
              </w:rPr>
            </w:pPr>
          </w:p>
        </w:tc>
        <w:tc>
          <w:tcPr>
            <w:tcW w:w="2594" w:type="dxa"/>
          </w:tcPr>
          <w:p w14:paraId="4C3EE68C">
            <w:pPr>
              <w:widowControl/>
              <w:adjustRightInd w:val="0"/>
              <w:snapToGrid w:val="0"/>
              <w:spacing w:line="276" w:lineRule="auto"/>
              <w:rPr>
                <w:rFonts w:ascii="宋体" w:hAnsi="宋体"/>
                <w:sz w:val="20"/>
                <w:szCs w:val="21"/>
              </w:rPr>
            </w:pPr>
          </w:p>
        </w:tc>
        <w:tc>
          <w:tcPr>
            <w:tcW w:w="2578" w:type="dxa"/>
          </w:tcPr>
          <w:p w14:paraId="41A51BB0">
            <w:pPr>
              <w:widowControl/>
              <w:adjustRightInd w:val="0"/>
              <w:snapToGrid w:val="0"/>
              <w:spacing w:line="276" w:lineRule="auto"/>
              <w:rPr>
                <w:rFonts w:ascii="宋体" w:hAnsi="宋体"/>
                <w:sz w:val="20"/>
                <w:szCs w:val="21"/>
              </w:rPr>
            </w:pPr>
          </w:p>
        </w:tc>
      </w:tr>
      <w:tr w14:paraId="2BF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tcPr>
          <w:p w14:paraId="0F812A37">
            <w:pPr>
              <w:widowControl/>
              <w:adjustRightInd w:val="0"/>
              <w:snapToGrid w:val="0"/>
              <w:spacing w:line="276" w:lineRule="auto"/>
              <w:rPr>
                <w:rFonts w:ascii="宋体" w:hAnsi="宋体"/>
                <w:sz w:val="20"/>
                <w:szCs w:val="21"/>
              </w:rPr>
            </w:pPr>
          </w:p>
        </w:tc>
        <w:tc>
          <w:tcPr>
            <w:tcW w:w="2594" w:type="dxa"/>
          </w:tcPr>
          <w:p w14:paraId="6DC4A28A">
            <w:pPr>
              <w:widowControl/>
              <w:adjustRightInd w:val="0"/>
              <w:snapToGrid w:val="0"/>
              <w:spacing w:line="276" w:lineRule="auto"/>
              <w:rPr>
                <w:rFonts w:ascii="宋体" w:hAnsi="宋体"/>
                <w:sz w:val="20"/>
                <w:szCs w:val="21"/>
              </w:rPr>
            </w:pPr>
          </w:p>
        </w:tc>
        <w:tc>
          <w:tcPr>
            <w:tcW w:w="2578" w:type="dxa"/>
          </w:tcPr>
          <w:p w14:paraId="18ED434A">
            <w:pPr>
              <w:widowControl/>
              <w:adjustRightInd w:val="0"/>
              <w:snapToGrid w:val="0"/>
              <w:spacing w:line="276" w:lineRule="auto"/>
              <w:rPr>
                <w:rFonts w:ascii="宋体" w:hAnsi="宋体"/>
                <w:sz w:val="20"/>
                <w:szCs w:val="21"/>
              </w:rPr>
            </w:pPr>
          </w:p>
        </w:tc>
      </w:tr>
    </w:tbl>
    <w:p w14:paraId="28D9CE1A">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0A48F9B2">
      <w:pPr>
        <w:spacing w:line="360" w:lineRule="auto"/>
        <w:rPr>
          <w:rFonts w:eastAsia="黑体"/>
          <w:sz w:val="30"/>
          <w:u w:val="single"/>
        </w:rPr>
      </w:pPr>
    </w:p>
    <w:p w14:paraId="232DB0C8">
      <w:pPr>
        <w:spacing w:line="360" w:lineRule="auto"/>
        <w:jc w:val="center"/>
        <w:rPr>
          <w:rFonts w:eastAsia="黑体"/>
          <w:sz w:val="44"/>
        </w:rPr>
      </w:pPr>
    </w:p>
    <w:p w14:paraId="0FAA3CEA">
      <w:pPr>
        <w:spacing w:line="360" w:lineRule="auto"/>
        <w:jc w:val="center"/>
        <w:outlineLvl w:val="0"/>
        <w:rPr>
          <w:rFonts w:eastAsia="黑体"/>
          <w:sz w:val="44"/>
        </w:rPr>
      </w:pPr>
      <w:r>
        <w:rPr>
          <w:rFonts w:hint="eastAsia" w:eastAsia="黑体"/>
          <w:sz w:val="44"/>
        </w:rPr>
        <w:t>专利实施许可合同</w:t>
      </w:r>
    </w:p>
    <w:p w14:paraId="1DD0A917">
      <w:pPr>
        <w:spacing w:line="360" w:lineRule="auto"/>
        <w:jc w:val="center"/>
        <w:outlineLvl w:val="0"/>
        <w:rPr>
          <w:rFonts w:eastAsia="黑体"/>
          <w:sz w:val="44"/>
        </w:rPr>
      </w:pPr>
      <w:r>
        <w:rPr>
          <w:rFonts w:hint="eastAsia" w:eastAsia="黑体"/>
          <w:sz w:val="44"/>
        </w:rPr>
        <w:t>签订指引</w:t>
      </w:r>
    </w:p>
    <w:p w14:paraId="41A3458D">
      <w:pPr>
        <w:spacing w:line="360" w:lineRule="auto"/>
        <w:jc w:val="center"/>
        <w:rPr>
          <w:rFonts w:eastAsia="黑体"/>
          <w:sz w:val="30"/>
        </w:rPr>
      </w:pPr>
    </w:p>
    <w:p w14:paraId="675B3DAD">
      <w:pPr>
        <w:spacing w:line="360" w:lineRule="auto"/>
        <w:jc w:val="center"/>
        <w:rPr>
          <w:rFonts w:eastAsia="黑体"/>
          <w:sz w:val="30"/>
        </w:rPr>
      </w:pPr>
    </w:p>
    <w:p w14:paraId="3757F1D7">
      <w:pPr>
        <w:spacing w:line="360" w:lineRule="auto"/>
        <w:jc w:val="center"/>
        <w:rPr>
          <w:rFonts w:eastAsia="黑体"/>
          <w:sz w:val="30"/>
        </w:rPr>
      </w:pPr>
    </w:p>
    <w:p w14:paraId="2379AB07">
      <w:pPr>
        <w:spacing w:line="360" w:lineRule="auto"/>
        <w:jc w:val="center"/>
        <w:rPr>
          <w:rFonts w:eastAsia="黑体"/>
          <w:sz w:val="30"/>
        </w:rPr>
      </w:pPr>
    </w:p>
    <w:p w14:paraId="5F893EB9">
      <w:pPr>
        <w:spacing w:line="360" w:lineRule="auto"/>
        <w:jc w:val="center"/>
        <w:rPr>
          <w:rFonts w:eastAsia="黑体"/>
          <w:sz w:val="30"/>
        </w:rPr>
      </w:pPr>
    </w:p>
    <w:p w14:paraId="0B5775C4">
      <w:pPr>
        <w:spacing w:line="360" w:lineRule="auto"/>
        <w:jc w:val="center"/>
        <w:rPr>
          <w:rFonts w:eastAsia="黑体"/>
          <w:sz w:val="30"/>
        </w:rPr>
      </w:pPr>
    </w:p>
    <w:p w14:paraId="19D74B1D">
      <w:pPr>
        <w:spacing w:line="360" w:lineRule="auto"/>
        <w:jc w:val="center"/>
        <w:rPr>
          <w:rFonts w:eastAsia="黑体"/>
          <w:sz w:val="30"/>
        </w:rPr>
      </w:pPr>
    </w:p>
    <w:p w14:paraId="218024F8">
      <w:pPr>
        <w:spacing w:line="360" w:lineRule="auto"/>
        <w:jc w:val="center"/>
        <w:rPr>
          <w:rFonts w:eastAsia="黑体"/>
          <w:sz w:val="30"/>
        </w:rPr>
      </w:pPr>
    </w:p>
    <w:p w14:paraId="5F3F1354">
      <w:pPr>
        <w:spacing w:line="360" w:lineRule="auto"/>
        <w:jc w:val="center"/>
        <w:rPr>
          <w:rFonts w:eastAsia="黑体"/>
          <w:sz w:val="30"/>
        </w:rPr>
      </w:pPr>
    </w:p>
    <w:p w14:paraId="20A2C835">
      <w:pPr>
        <w:spacing w:line="360" w:lineRule="auto"/>
        <w:jc w:val="center"/>
        <w:rPr>
          <w:rFonts w:eastAsia="黑体"/>
          <w:sz w:val="30"/>
        </w:rPr>
      </w:pPr>
    </w:p>
    <w:p w14:paraId="2239A00E">
      <w:pPr>
        <w:spacing w:line="360" w:lineRule="auto"/>
        <w:jc w:val="center"/>
        <w:rPr>
          <w:rFonts w:eastAsia="黑体"/>
          <w:sz w:val="30"/>
        </w:rPr>
      </w:pPr>
    </w:p>
    <w:p w14:paraId="257D2912">
      <w:pPr>
        <w:spacing w:line="360" w:lineRule="auto"/>
        <w:jc w:val="center"/>
        <w:rPr>
          <w:rFonts w:eastAsia="黑体"/>
          <w:sz w:val="30"/>
        </w:rPr>
      </w:pPr>
    </w:p>
    <w:p w14:paraId="572DAB27">
      <w:pPr>
        <w:spacing w:line="360" w:lineRule="auto"/>
        <w:jc w:val="center"/>
        <w:rPr>
          <w:rFonts w:eastAsia="黑体"/>
          <w:sz w:val="30"/>
        </w:rPr>
      </w:pPr>
    </w:p>
    <w:p w14:paraId="6645B6EC">
      <w:pPr>
        <w:spacing w:line="360" w:lineRule="auto"/>
        <w:jc w:val="center"/>
        <w:rPr>
          <w:rFonts w:eastAsia="黑体"/>
          <w:sz w:val="30"/>
        </w:rPr>
      </w:pPr>
    </w:p>
    <w:p w14:paraId="2D2674FC">
      <w:pPr>
        <w:spacing w:line="360" w:lineRule="auto"/>
        <w:jc w:val="center"/>
        <w:rPr>
          <w:rFonts w:eastAsia="黑体"/>
          <w:sz w:val="30"/>
        </w:rPr>
      </w:pPr>
    </w:p>
    <w:p w14:paraId="3F3ED1D3">
      <w:pPr>
        <w:spacing w:line="360" w:lineRule="auto"/>
        <w:jc w:val="center"/>
        <w:rPr>
          <w:rFonts w:eastAsia="黑体"/>
          <w:sz w:val="30"/>
        </w:rPr>
      </w:pPr>
    </w:p>
    <w:p w14:paraId="474AFE78">
      <w:pPr>
        <w:spacing w:line="360" w:lineRule="auto"/>
        <w:jc w:val="center"/>
        <w:outlineLvl w:val="0"/>
        <w:rPr>
          <w:rFonts w:eastAsia="黑体"/>
          <w:sz w:val="30"/>
        </w:rPr>
      </w:pPr>
      <w:r>
        <w:rPr>
          <w:rFonts w:hint="eastAsia" w:eastAsia="黑体"/>
          <w:sz w:val="30"/>
        </w:rPr>
        <w:t>国家知识产权局</w:t>
      </w:r>
    </w:p>
    <w:p w14:paraId="1F246E96">
      <w:pPr>
        <w:spacing w:line="360" w:lineRule="auto"/>
        <w:jc w:val="center"/>
        <w:outlineLvl w:val="0"/>
        <w:rPr>
          <w:rFonts w:eastAsia="黑体"/>
          <w:sz w:val="30"/>
        </w:rPr>
      </w:pPr>
      <w:r>
        <w:rPr>
          <w:rFonts w:hint="eastAsia" w:eastAsia="黑体"/>
          <w:sz w:val="30"/>
        </w:rPr>
        <w:t>2023年6月</w:t>
      </w:r>
    </w:p>
    <w:p w14:paraId="0E05958D">
      <w:pPr>
        <w:spacing w:line="360" w:lineRule="auto"/>
        <w:jc w:val="center"/>
        <w:rPr>
          <w:rFonts w:eastAsia="黑体"/>
          <w:sz w:val="30"/>
        </w:rPr>
      </w:pPr>
    </w:p>
    <w:p w14:paraId="17FE4BBA">
      <w:pPr>
        <w:spacing w:line="360" w:lineRule="auto"/>
        <w:jc w:val="center"/>
        <w:rPr>
          <w:rFonts w:eastAsia="黑体"/>
          <w:sz w:val="30"/>
        </w:rPr>
      </w:pPr>
    </w:p>
    <w:p w14:paraId="225CF27C">
      <w:pPr>
        <w:spacing w:line="360" w:lineRule="auto"/>
        <w:jc w:val="center"/>
        <w:rPr>
          <w:rFonts w:eastAsia="黑体"/>
          <w:sz w:val="30"/>
        </w:rPr>
      </w:pPr>
    </w:p>
    <w:p w14:paraId="220DCF5C">
      <w:pPr>
        <w:spacing w:line="360" w:lineRule="auto"/>
        <w:jc w:val="center"/>
        <w:outlineLvl w:val="0"/>
        <w:rPr>
          <w:rFonts w:eastAsia="黑体"/>
          <w:sz w:val="32"/>
        </w:rPr>
      </w:pPr>
      <w:r>
        <w:rPr>
          <w:rFonts w:hint="eastAsia" w:eastAsia="黑体"/>
          <w:sz w:val="32"/>
        </w:rPr>
        <w:t>专利实施许可合同</w:t>
      </w:r>
    </w:p>
    <w:p w14:paraId="04BE2FE8">
      <w:pPr>
        <w:spacing w:line="360" w:lineRule="auto"/>
        <w:jc w:val="center"/>
        <w:outlineLvl w:val="0"/>
        <w:rPr>
          <w:rFonts w:eastAsia="黑体"/>
          <w:sz w:val="32"/>
        </w:rPr>
      </w:pPr>
      <w:r>
        <w:rPr>
          <w:rFonts w:hint="eastAsia" w:eastAsia="黑体"/>
          <w:sz w:val="32"/>
        </w:rPr>
        <w:t>签订指引</w:t>
      </w:r>
    </w:p>
    <w:p w14:paraId="723E47ED">
      <w:pPr>
        <w:spacing w:line="400" w:lineRule="exact"/>
        <w:rPr>
          <w:rFonts w:eastAsia="黑体"/>
          <w:sz w:val="28"/>
        </w:rPr>
      </w:pPr>
    </w:p>
    <w:p w14:paraId="2B78B782">
      <w:pPr>
        <w:spacing w:line="400" w:lineRule="exact"/>
        <w:rPr>
          <w:rFonts w:eastAsia="黑体"/>
          <w:sz w:val="28"/>
        </w:rPr>
      </w:pPr>
      <w:r>
        <w:rPr>
          <w:rFonts w:hint="eastAsia" w:eastAsia="黑体"/>
          <w:sz w:val="28"/>
        </w:rPr>
        <w:t>概述</w:t>
      </w:r>
    </w:p>
    <w:p w14:paraId="2FE802EF">
      <w:pPr>
        <w:spacing w:line="400" w:lineRule="exact"/>
        <w:ind w:firstLine="560" w:firstLineChars="200"/>
        <w:rPr>
          <w:sz w:val="28"/>
        </w:rPr>
      </w:pPr>
      <w:r>
        <w:rPr>
          <w:rFonts w:hint="eastAsia"/>
          <w:sz w:val="28"/>
        </w:rPr>
        <w:t>《中华人民共和国专利法》第十二条规定，</w:t>
      </w:r>
      <w:r>
        <w:rPr>
          <w:sz w:val="28"/>
          <w:szCs w:val="21"/>
        </w:rPr>
        <w:t>任何单位或者个人实施他人专利的，应当与专利权人订立实施许可合同，向专利权人支付专利使用费。被许可人无权允许合同规定以外的任何单位或者个人实施该专利。</w:t>
      </w:r>
    </w:p>
    <w:p w14:paraId="784DF134">
      <w:pPr>
        <w:spacing w:line="400" w:lineRule="exact"/>
        <w:ind w:firstLine="560" w:firstLineChars="200"/>
        <w:rPr>
          <w:sz w:val="28"/>
        </w:rPr>
      </w:pPr>
      <w:r>
        <w:rPr>
          <w:rFonts w:hint="eastAsia"/>
          <w:sz w:val="28"/>
        </w:rPr>
        <w:t>《中华人民共和国民法典》第八百六十二条至第八百七十七条对技术转让合同和技术许可合同作了规定，是专利实施许可合同签订的重要依据。</w:t>
      </w:r>
    </w:p>
    <w:p w14:paraId="6813DC8C">
      <w:pPr>
        <w:spacing w:line="400" w:lineRule="exact"/>
        <w:ind w:firstLine="560" w:firstLineChars="200"/>
        <w:rPr>
          <w:sz w:val="28"/>
        </w:rPr>
      </w:pPr>
      <w:r>
        <w:rPr>
          <w:sz w:val="28"/>
          <w:szCs w:val="21"/>
        </w:rPr>
        <w:t>《</w:t>
      </w:r>
      <w:r>
        <w:rPr>
          <w:rFonts w:hint="eastAsia"/>
          <w:sz w:val="28"/>
        </w:rPr>
        <w:t>中华人民共和国</w:t>
      </w:r>
      <w:r>
        <w:rPr>
          <w:sz w:val="28"/>
          <w:szCs w:val="21"/>
        </w:rPr>
        <w:t>民法典》第</w:t>
      </w:r>
      <w:r>
        <w:rPr>
          <w:rFonts w:hint="eastAsia"/>
          <w:sz w:val="28"/>
        </w:rPr>
        <w:t>八百六十五</w:t>
      </w:r>
      <w:r>
        <w:rPr>
          <w:sz w:val="28"/>
          <w:szCs w:val="21"/>
        </w:rPr>
        <w:t>条规定</w:t>
      </w:r>
      <w:r>
        <w:rPr>
          <w:rFonts w:hint="eastAsia"/>
          <w:sz w:val="28"/>
        </w:rPr>
        <w:t>，</w:t>
      </w:r>
      <w:r>
        <w:rPr>
          <w:sz w:val="28"/>
          <w:szCs w:val="21"/>
        </w:rPr>
        <w:t>专利实施许可合同仅在该专利权的存续期限内有效。专利权有效期限届满或者专利权被宣告无效的</w:t>
      </w:r>
      <w:r>
        <w:rPr>
          <w:rFonts w:hint="eastAsia"/>
          <w:sz w:val="28"/>
        </w:rPr>
        <w:t>，</w:t>
      </w:r>
      <w:r>
        <w:rPr>
          <w:sz w:val="28"/>
          <w:szCs w:val="21"/>
        </w:rPr>
        <w:t>专利权人不得就该专利与他人订立专利实施许可合同。</w:t>
      </w:r>
      <w:r>
        <w:rPr>
          <w:rFonts w:hint="eastAsia"/>
          <w:sz w:val="28"/>
        </w:rPr>
        <w:t>第八百六十六条规定，</w:t>
      </w:r>
      <w:r>
        <w:rPr>
          <w:sz w:val="28"/>
          <w:szCs w:val="21"/>
        </w:rPr>
        <w:t>专利实施许可合同的许可人应当按照约定许可被许可人实施专利，交付实施专利有关的技术资料，提供必要的技术指导。</w:t>
      </w:r>
      <w:r>
        <w:rPr>
          <w:rFonts w:hint="eastAsia"/>
          <w:sz w:val="28"/>
        </w:rPr>
        <w:t>第八百六十七条规定，</w:t>
      </w:r>
      <w:r>
        <w:rPr>
          <w:sz w:val="28"/>
          <w:szCs w:val="21"/>
        </w:rPr>
        <w:t>专利实施许可合同的被许可人应当按照约定实施专利，不得许可约定以外的第三人实施该专利，并按照约定支付使用费。</w:t>
      </w:r>
    </w:p>
    <w:p w14:paraId="53375AA0">
      <w:pPr>
        <w:spacing w:line="400" w:lineRule="exact"/>
        <w:ind w:firstLine="560" w:firstLineChars="200"/>
        <w:rPr>
          <w:sz w:val="28"/>
        </w:rPr>
      </w:pPr>
    </w:p>
    <w:p w14:paraId="54717335">
      <w:pPr>
        <w:spacing w:line="400" w:lineRule="exact"/>
        <w:rPr>
          <w:rFonts w:eastAsia="黑体"/>
          <w:sz w:val="28"/>
        </w:rPr>
      </w:pPr>
      <w:r>
        <w:rPr>
          <w:rFonts w:hint="eastAsia" w:eastAsia="黑体"/>
          <w:sz w:val="28"/>
        </w:rPr>
        <w:t>合同封面</w:t>
      </w:r>
    </w:p>
    <w:p w14:paraId="73930F6F">
      <w:pPr>
        <w:spacing w:line="400" w:lineRule="exact"/>
        <w:ind w:firstLine="560" w:firstLineChars="200"/>
        <w:rPr>
          <w:sz w:val="28"/>
        </w:rPr>
      </w:pPr>
      <w:r>
        <w:rPr>
          <w:sz w:val="28"/>
        </w:rPr>
        <w:t>合同</w:t>
      </w:r>
      <w:r>
        <w:rPr>
          <w:rFonts w:hint="eastAsia"/>
          <w:sz w:val="28"/>
        </w:rPr>
        <w:t>需要</w:t>
      </w:r>
      <w:r>
        <w:rPr>
          <w:sz w:val="28"/>
        </w:rPr>
        <w:t>列明合同双方必要的基本信息，包括名称</w:t>
      </w:r>
      <w:r>
        <w:rPr>
          <w:rFonts w:hint="eastAsia"/>
          <w:sz w:val="28"/>
        </w:rPr>
        <w:t>和</w:t>
      </w:r>
      <w:r>
        <w:rPr>
          <w:sz w:val="28"/>
        </w:rPr>
        <w:t>地址</w:t>
      </w:r>
      <w:r>
        <w:rPr>
          <w:rFonts w:hint="eastAsia"/>
          <w:sz w:val="28"/>
        </w:rPr>
        <w:t>；需要填写合同本身的相关信息，包括签订地点、签订日期、有效期限等；若只涉及一件专利，</w:t>
      </w:r>
      <w:r>
        <w:rPr>
          <w:sz w:val="28"/>
        </w:rPr>
        <w:t>需要明确</w:t>
      </w:r>
      <w:r>
        <w:rPr>
          <w:rFonts w:hint="eastAsia"/>
          <w:sz w:val="28"/>
        </w:rPr>
        <w:t>许可专利的信息，包括发明创造名称以及专利号/专利申请号，以便将合同的标的予以固定</w:t>
      </w:r>
      <w:r>
        <w:rPr>
          <w:sz w:val="28"/>
        </w:rPr>
        <w:t>。</w:t>
      </w:r>
    </w:p>
    <w:p w14:paraId="64118004">
      <w:pPr>
        <w:spacing w:line="400" w:lineRule="exact"/>
        <w:rPr>
          <w:rFonts w:eastAsia="黑体"/>
          <w:sz w:val="28"/>
        </w:rPr>
      </w:pPr>
    </w:p>
    <w:p w14:paraId="7B2D62E3">
      <w:pPr>
        <w:spacing w:line="400" w:lineRule="exact"/>
        <w:rPr>
          <w:rFonts w:eastAsia="黑体"/>
          <w:sz w:val="28"/>
        </w:rPr>
      </w:pPr>
      <w:r>
        <w:rPr>
          <w:rFonts w:hint="eastAsia" w:eastAsia="黑体"/>
          <w:sz w:val="28"/>
        </w:rPr>
        <w:t>前言（鉴于条款）</w:t>
      </w:r>
    </w:p>
    <w:p w14:paraId="0D6B16E6">
      <w:pPr>
        <w:spacing w:line="400" w:lineRule="exact"/>
        <w:ind w:firstLine="560" w:firstLineChars="200"/>
        <w:rPr>
          <w:sz w:val="28"/>
        </w:rPr>
      </w:pPr>
      <w:r>
        <w:rPr>
          <w:rFonts w:ascii="宋体"/>
          <w:sz w:val="28"/>
        </w:rPr>
        <w:t>鉴于条款需要简单介绍合同双方的合作背景，包括许可方与被许可方基于何种目的希望达成合作意愿。</w:t>
      </w:r>
      <w:r>
        <w:rPr>
          <w:rFonts w:hint="eastAsia" w:ascii="宋体"/>
          <w:sz w:val="28"/>
        </w:rPr>
        <w:t>在模板基础上，当事人可以根据实际需要进一步进行补充，可考虑的内容包括但不限于许可专利的形成背景、许可专利的实施前景等。</w:t>
      </w:r>
    </w:p>
    <w:p w14:paraId="3C37A03D">
      <w:pPr>
        <w:spacing w:line="400" w:lineRule="exact"/>
        <w:rPr>
          <w:sz w:val="28"/>
        </w:rPr>
      </w:pPr>
    </w:p>
    <w:p w14:paraId="1FBBBFAD">
      <w:pPr>
        <w:numPr>
          <w:ilvl w:val="0"/>
          <w:numId w:val="13"/>
        </w:numPr>
        <w:spacing w:line="400" w:lineRule="exact"/>
        <w:outlineLvl w:val="0"/>
        <w:rPr>
          <w:rFonts w:eastAsia="黑体"/>
          <w:sz w:val="28"/>
        </w:rPr>
      </w:pPr>
      <w:r>
        <w:rPr>
          <w:rFonts w:hint="eastAsia" w:eastAsia="黑体"/>
          <w:sz w:val="28"/>
        </w:rPr>
        <w:t>名词和术语（定义条款）</w:t>
      </w:r>
    </w:p>
    <w:p w14:paraId="618434C0">
      <w:pPr>
        <w:spacing w:line="400" w:lineRule="exact"/>
        <w:ind w:firstLine="570"/>
        <w:rPr>
          <w:rFonts w:ascii="宋体"/>
          <w:sz w:val="28"/>
        </w:rPr>
      </w:pPr>
      <w:r>
        <w:rPr>
          <w:sz w:val="28"/>
        </w:rPr>
        <w:t>定义条款需要对合同中的专有名词或术语进行定义，目的是清楚界定术语的含义，避免双方在合同签订及后续履行中出现理解上的分歧。</w:t>
      </w:r>
      <w:r>
        <w:rPr>
          <w:rFonts w:hint="eastAsia"/>
          <w:sz w:val="28"/>
        </w:rPr>
        <w:t>通常而言，可能涉及定义的名词或术语包括</w:t>
      </w:r>
      <w:r>
        <w:rPr>
          <w:rFonts w:ascii="宋体"/>
          <w:sz w:val="28"/>
        </w:rPr>
        <w:t>“许可专利”、</w:t>
      </w:r>
      <w:r>
        <w:rPr>
          <w:rFonts w:hint="eastAsia" w:ascii="宋体"/>
          <w:sz w:val="28"/>
        </w:rPr>
        <w:t xml:space="preserve"> </w:t>
      </w:r>
      <w:r>
        <w:rPr>
          <w:rFonts w:ascii="宋体"/>
          <w:sz w:val="28"/>
        </w:rPr>
        <w:t>“许可产品”、“技术资料”、“技术服务”</w:t>
      </w:r>
      <w:r>
        <w:rPr>
          <w:rFonts w:hint="eastAsia" w:ascii="宋体"/>
          <w:sz w:val="28"/>
        </w:rPr>
        <w:t>等</w:t>
      </w:r>
      <w:r>
        <w:rPr>
          <w:rFonts w:ascii="宋体"/>
          <w:sz w:val="28"/>
        </w:rPr>
        <w:t>。</w:t>
      </w:r>
      <w:r>
        <w:rPr>
          <w:rFonts w:hint="eastAsia" w:ascii="宋体"/>
          <w:sz w:val="28"/>
        </w:rPr>
        <w:t>在定义“关联方”时，合同双方应对关联方的具体范围予以重视，因为关联方可能在合同中与被许可方一并获得许可，同时，关联方的范围还有可能对净销售额、净利润额等数额的计算产生影响，进而影响许可费的数额。若第一条第7款第(</w:t>
      </w:r>
      <w:r>
        <w:rPr>
          <w:rFonts w:ascii="宋体"/>
          <w:sz w:val="28"/>
        </w:rPr>
        <w:t>1)</w:t>
      </w:r>
      <w:r>
        <w:rPr>
          <w:rFonts w:hint="eastAsia" w:ascii="宋体"/>
          <w:sz w:val="28"/>
        </w:rPr>
        <w:t>项中关于关联方的定义不符合双方的商业安排，则可以考虑在附件一中另行予以明确。</w:t>
      </w:r>
    </w:p>
    <w:p w14:paraId="71EACA03">
      <w:pPr>
        <w:spacing w:line="400" w:lineRule="exact"/>
        <w:rPr>
          <w:rFonts w:ascii="宋体"/>
          <w:sz w:val="28"/>
        </w:rPr>
      </w:pPr>
    </w:p>
    <w:p w14:paraId="2BBDA5D3">
      <w:pPr>
        <w:numPr>
          <w:ilvl w:val="0"/>
          <w:numId w:val="13"/>
        </w:numPr>
        <w:spacing w:line="400" w:lineRule="exact"/>
        <w:outlineLvl w:val="0"/>
        <w:rPr>
          <w:rFonts w:ascii="黑体" w:eastAsia="黑体"/>
          <w:sz w:val="28"/>
        </w:rPr>
      </w:pPr>
      <w:r>
        <w:rPr>
          <w:rFonts w:hint="eastAsia" w:ascii="黑体" w:eastAsia="黑体"/>
          <w:sz w:val="28"/>
        </w:rPr>
        <w:t>许可的授予</w:t>
      </w:r>
    </w:p>
    <w:p w14:paraId="01B538DA">
      <w:pPr>
        <w:spacing w:line="400" w:lineRule="exact"/>
        <w:ind w:firstLine="570"/>
        <w:rPr>
          <w:sz w:val="28"/>
        </w:rPr>
      </w:pPr>
      <w:r>
        <w:rPr>
          <w:sz w:val="28"/>
        </w:rPr>
        <w:t>许可条款需要对</w:t>
      </w:r>
      <w:r>
        <w:rPr>
          <w:rFonts w:hint="eastAsia"/>
          <w:sz w:val="28"/>
        </w:rPr>
        <w:t>许可专利、</w:t>
      </w:r>
      <w:r>
        <w:rPr>
          <w:sz w:val="28"/>
        </w:rPr>
        <w:t>许可</w:t>
      </w:r>
      <w:r>
        <w:rPr>
          <w:rFonts w:hint="eastAsia"/>
          <w:sz w:val="28"/>
        </w:rPr>
        <w:t>的方式与范围、许可实施行为、</w:t>
      </w:r>
      <w:r>
        <w:rPr>
          <w:sz w:val="28"/>
        </w:rPr>
        <w:t>是否允许分许可等加以明确。</w:t>
      </w:r>
      <w:r>
        <w:rPr>
          <w:rFonts w:hint="eastAsia"/>
          <w:sz w:val="28"/>
        </w:rPr>
        <w:t>在一些技术许可项目中，除许可专利本身外，还需要许可方向被许可方提供一定的技术秘密方可实现合同目的，在此情况下，还可以对技术秘密的许可进行约定。</w:t>
      </w:r>
    </w:p>
    <w:p w14:paraId="17352869">
      <w:pPr>
        <w:spacing w:line="400" w:lineRule="exact"/>
        <w:rPr>
          <w:sz w:val="28"/>
        </w:rPr>
      </w:pPr>
    </w:p>
    <w:p w14:paraId="1C1BA0B5">
      <w:pPr>
        <w:numPr>
          <w:ilvl w:val="1"/>
          <w:numId w:val="14"/>
        </w:numPr>
        <w:spacing w:line="400" w:lineRule="exact"/>
        <w:outlineLvl w:val="1"/>
        <w:rPr>
          <w:sz w:val="28"/>
        </w:rPr>
      </w:pPr>
      <w:r>
        <w:rPr>
          <w:sz w:val="28"/>
        </w:rPr>
        <w:t>许可</w:t>
      </w:r>
      <w:r>
        <w:rPr>
          <w:rFonts w:hint="eastAsia"/>
          <w:sz w:val="28"/>
        </w:rPr>
        <w:t>专利</w:t>
      </w:r>
    </w:p>
    <w:p w14:paraId="5E8233FB">
      <w:pPr>
        <w:spacing w:line="400" w:lineRule="exact"/>
        <w:ind w:left="567" w:leftChars="270"/>
        <w:rPr>
          <w:sz w:val="28"/>
        </w:rPr>
      </w:pPr>
    </w:p>
    <w:p w14:paraId="6D6EE901">
      <w:pPr>
        <w:spacing w:line="400" w:lineRule="exact"/>
        <w:ind w:left="567" w:leftChars="270" w:firstLine="560" w:firstLineChars="200"/>
        <w:rPr>
          <w:sz w:val="28"/>
        </w:rPr>
      </w:pPr>
      <w:r>
        <w:rPr>
          <w:rFonts w:hint="eastAsia"/>
          <w:sz w:val="28"/>
        </w:rPr>
        <w:t>许可专利条款的目的是将合同标的予以明确。一项发明创造的名称、申请号、公开(公告</w:t>
      </w:r>
      <w:r>
        <w:rPr>
          <w:sz w:val="28"/>
        </w:rPr>
        <w:t>)</w:t>
      </w:r>
      <w:r>
        <w:rPr>
          <w:rFonts w:hint="eastAsia"/>
          <w:sz w:val="28"/>
        </w:rPr>
        <w:t>号等信息可以帮助明确合同标的；在存在多项合同标的的情况下，可以考虑使用附件二表格予以列明。若上述方式尚不足以描述合同标的的范围，当事人可以考虑自行予以约定。鉴于专利具有地域性，同一个技术方案在不同国家/地区是否取得专利保护的情况有可能有所不同。因此，若合同涉及被许可方在多国实施相关专利技术，当事人应当考虑合同标的中是否包括相关专利的同族专利。</w:t>
      </w:r>
    </w:p>
    <w:p w14:paraId="06C75C37">
      <w:pPr>
        <w:spacing w:line="400" w:lineRule="exact"/>
        <w:ind w:left="567" w:leftChars="270"/>
        <w:rPr>
          <w:sz w:val="28"/>
        </w:rPr>
      </w:pPr>
    </w:p>
    <w:p w14:paraId="5F4A5EE2">
      <w:pPr>
        <w:numPr>
          <w:ilvl w:val="1"/>
          <w:numId w:val="14"/>
        </w:numPr>
        <w:spacing w:line="400" w:lineRule="exact"/>
        <w:outlineLvl w:val="1"/>
        <w:rPr>
          <w:sz w:val="28"/>
        </w:rPr>
      </w:pPr>
      <w:r>
        <w:rPr>
          <w:rFonts w:hint="eastAsia"/>
          <w:sz w:val="28"/>
        </w:rPr>
        <w:t>许可的方式与范围</w:t>
      </w:r>
    </w:p>
    <w:p w14:paraId="4F37F555">
      <w:pPr>
        <w:spacing w:line="400" w:lineRule="exact"/>
        <w:ind w:left="567" w:leftChars="270"/>
        <w:rPr>
          <w:sz w:val="28"/>
        </w:rPr>
      </w:pPr>
    </w:p>
    <w:p w14:paraId="66FBFB76">
      <w:pPr>
        <w:spacing w:line="400" w:lineRule="exact"/>
        <w:ind w:left="567" w:leftChars="270" w:firstLine="560" w:firstLineChars="200"/>
        <w:rPr>
          <w:sz w:val="28"/>
        </w:rPr>
      </w:pPr>
      <w:r>
        <w:rPr>
          <w:sz w:val="28"/>
        </w:rPr>
        <w:t>专利实施许可分为普通实施许可、排他实施许可和独占实施许可。</w:t>
      </w:r>
    </w:p>
    <w:p w14:paraId="5EF329E4">
      <w:pPr>
        <w:spacing w:line="400" w:lineRule="exact"/>
        <w:ind w:left="567" w:leftChars="270" w:firstLine="560" w:firstLineChars="200"/>
        <w:rPr>
          <w:sz w:val="28"/>
        </w:rPr>
      </w:pPr>
      <w:r>
        <w:rPr>
          <w:sz w:val="28"/>
        </w:rPr>
        <w:t>普通实施许可是指</w:t>
      </w:r>
      <w:r>
        <w:rPr>
          <w:rFonts w:hint="eastAsia"/>
          <w:sz w:val="28"/>
        </w:rPr>
        <w:t>：许</w:t>
      </w:r>
      <w:r>
        <w:rPr>
          <w:sz w:val="28"/>
        </w:rPr>
        <w:t>可方许可被许可方在合同约定的</w:t>
      </w:r>
      <w:r>
        <w:rPr>
          <w:rFonts w:hint="eastAsia"/>
          <w:sz w:val="28"/>
        </w:rPr>
        <w:t>范围</w:t>
      </w:r>
      <w:r>
        <w:rPr>
          <w:sz w:val="28"/>
        </w:rPr>
        <w:t>内实施该许可专利的同时，许可方保留实施该许可专利的权利，并可以继续许可被许可方以外的单位或个人实施该许可专利。</w:t>
      </w:r>
    </w:p>
    <w:p w14:paraId="1CADC387">
      <w:pPr>
        <w:spacing w:line="400" w:lineRule="exact"/>
        <w:ind w:left="567" w:leftChars="270" w:firstLine="560" w:firstLineChars="200"/>
        <w:rPr>
          <w:sz w:val="28"/>
        </w:rPr>
      </w:pPr>
      <w:r>
        <w:rPr>
          <w:sz w:val="28"/>
        </w:rPr>
        <w:t>排他实施许可是指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内实施该许可专利的同时，许可方保留实施该许可专利的权利，但不得再许可</w:t>
      </w:r>
      <w:r>
        <w:rPr>
          <w:rFonts w:hint="eastAsia"/>
          <w:sz w:val="28"/>
        </w:rPr>
        <w:t>该</w:t>
      </w:r>
      <w:r>
        <w:rPr>
          <w:sz w:val="28"/>
        </w:rPr>
        <w:t>被许可方以外的任何单位或个人实施该许可专利。</w:t>
      </w:r>
    </w:p>
    <w:p w14:paraId="799F61B0">
      <w:pPr>
        <w:spacing w:line="400" w:lineRule="exact"/>
        <w:ind w:left="567" w:leftChars="270" w:firstLine="560" w:firstLineChars="200"/>
        <w:rPr>
          <w:sz w:val="28"/>
        </w:rPr>
      </w:pPr>
      <w:r>
        <w:rPr>
          <w:sz w:val="28"/>
        </w:rPr>
        <w:t>独占</w:t>
      </w:r>
      <w:r>
        <w:rPr>
          <w:rFonts w:hint="eastAsia"/>
          <w:sz w:val="28"/>
        </w:rPr>
        <w:t>实施</w:t>
      </w:r>
      <w:r>
        <w:rPr>
          <w:sz w:val="28"/>
        </w:rPr>
        <w:t>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内实施该许可专利，许可方和</w:t>
      </w:r>
      <w:r>
        <w:rPr>
          <w:rFonts w:hint="eastAsia"/>
          <w:sz w:val="28"/>
        </w:rPr>
        <w:t>该</w:t>
      </w:r>
      <w:r>
        <w:rPr>
          <w:sz w:val="28"/>
        </w:rPr>
        <w:t>被许可方以外的任何单位或个人都不得实施该许可专利。</w:t>
      </w:r>
    </w:p>
    <w:p w14:paraId="53E67998">
      <w:pPr>
        <w:spacing w:line="400" w:lineRule="exact"/>
        <w:ind w:left="567" w:leftChars="270"/>
        <w:rPr>
          <w:sz w:val="28"/>
        </w:rPr>
      </w:pPr>
    </w:p>
    <w:p w14:paraId="2D226AA6">
      <w:pPr>
        <w:numPr>
          <w:ilvl w:val="2"/>
          <w:numId w:val="14"/>
        </w:numPr>
        <w:spacing w:line="400" w:lineRule="exact"/>
        <w:outlineLvl w:val="2"/>
        <w:rPr>
          <w:sz w:val="28"/>
        </w:rPr>
      </w:pPr>
      <w:r>
        <w:rPr>
          <w:sz w:val="28"/>
        </w:rPr>
        <w:t>许可期限</w:t>
      </w:r>
    </w:p>
    <w:p w14:paraId="425A994D">
      <w:pPr>
        <w:spacing w:line="400" w:lineRule="exact"/>
        <w:ind w:left="567" w:leftChars="270"/>
        <w:rPr>
          <w:sz w:val="28"/>
        </w:rPr>
      </w:pPr>
    </w:p>
    <w:p w14:paraId="63EF8EE0">
      <w:pPr>
        <w:spacing w:line="400" w:lineRule="exact"/>
        <w:ind w:left="567" w:leftChars="270" w:firstLine="560" w:firstLineChars="200"/>
        <w:rPr>
          <w:sz w:val="28"/>
        </w:rPr>
      </w:pPr>
      <w:r>
        <w:rPr>
          <w:rFonts w:hint="eastAsia"/>
          <w:sz w:val="28"/>
        </w:rPr>
        <w:t>许可期限由当事人双方协商确定，但应当在许可专利的保护期范围内。若双方希望就许可专利达成长期许可，则可考虑将</w:t>
      </w:r>
      <w:r>
        <w:rPr>
          <w:sz w:val="28"/>
        </w:rPr>
        <w:t>许可期限约定为该专利权保护期，当涉及多件专利时，以最后一件专利的到期日为准。双方也可以约定在特定的时间范围内享有独占实施许可、排他实施许可或者普通实施许可，最大化地实现其专利价值。</w:t>
      </w:r>
    </w:p>
    <w:p w14:paraId="35F1C75C">
      <w:pPr>
        <w:spacing w:line="400" w:lineRule="exact"/>
        <w:ind w:left="567" w:leftChars="270"/>
        <w:rPr>
          <w:sz w:val="28"/>
        </w:rPr>
      </w:pPr>
    </w:p>
    <w:p w14:paraId="2708F761">
      <w:pPr>
        <w:numPr>
          <w:ilvl w:val="2"/>
          <w:numId w:val="14"/>
        </w:numPr>
        <w:spacing w:line="400" w:lineRule="exact"/>
        <w:outlineLvl w:val="2"/>
        <w:rPr>
          <w:sz w:val="28"/>
        </w:rPr>
      </w:pPr>
      <w:r>
        <w:rPr>
          <w:sz w:val="28"/>
        </w:rPr>
        <w:t>许可</w:t>
      </w:r>
      <w:r>
        <w:rPr>
          <w:rFonts w:hint="eastAsia"/>
          <w:sz w:val="28"/>
        </w:rPr>
        <w:t>区域</w:t>
      </w:r>
    </w:p>
    <w:p w14:paraId="2AF1492F">
      <w:pPr>
        <w:spacing w:line="400" w:lineRule="exact"/>
        <w:ind w:left="567" w:leftChars="270"/>
        <w:rPr>
          <w:sz w:val="28"/>
        </w:rPr>
      </w:pPr>
    </w:p>
    <w:p w14:paraId="4357C0C8">
      <w:pPr>
        <w:spacing w:line="400" w:lineRule="exact"/>
        <w:ind w:left="567" w:leftChars="270" w:firstLine="560" w:firstLineChars="200"/>
        <w:rPr>
          <w:sz w:val="28"/>
        </w:rPr>
      </w:pPr>
      <w:r>
        <w:rPr>
          <w:sz w:val="28"/>
        </w:rPr>
        <w:t>许可合同应当明确约定许可</w:t>
      </w:r>
      <w:r>
        <w:rPr>
          <w:rFonts w:hint="eastAsia"/>
          <w:sz w:val="28"/>
        </w:rPr>
        <w:t>区域的名称，例如中国某</w:t>
      </w:r>
      <w:r>
        <w:rPr>
          <w:rFonts w:hint="eastAsia"/>
          <w:sz w:val="28"/>
          <w:lang w:eastAsia="zh-CN"/>
        </w:rPr>
        <w:t>省（自治区、直辖市）</w:t>
      </w:r>
      <w:r>
        <w:rPr>
          <w:rFonts w:hint="eastAsia"/>
          <w:sz w:val="28"/>
        </w:rPr>
        <w:t>，或特定</w:t>
      </w:r>
      <w:r>
        <w:rPr>
          <w:sz w:val="28"/>
        </w:rPr>
        <w:t>国家</w:t>
      </w:r>
      <w:r>
        <w:rPr>
          <w:rFonts w:hint="eastAsia"/>
          <w:sz w:val="28"/>
        </w:rPr>
        <w:t>或</w:t>
      </w:r>
      <w:r>
        <w:rPr>
          <w:sz w:val="28"/>
        </w:rPr>
        <w:t>地区。应当避免在许可</w:t>
      </w:r>
      <w:r>
        <w:rPr>
          <w:rFonts w:hint="eastAsia"/>
          <w:sz w:val="28"/>
        </w:rPr>
        <w:t>合同</w:t>
      </w:r>
      <w:r>
        <w:rPr>
          <w:sz w:val="28"/>
        </w:rPr>
        <w:t>中使用含义模糊且在许可期限内可能产生变化的区域名称，如“欧盟”等。为免疑义，有必要在许可合同的定义部分对相关术语进行明确。</w:t>
      </w:r>
    </w:p>
    <w:p w14:paraId="10273CE7">
      <w:pPr>
        <w:spacing w:line="400" w:lineRule="exact"/>
        <w:ind w:left="567" w:leftChars="270"/>
        <w:rPr>
          <w:sz w:val="28"/>
        </w:rPr>
      </w:pPr>
    </w:p>
    <w:p w14:paraId="04770128">
      <w:pPr>
        <w:spacing w:line="400" w:lineRule="exact"/>
        <w:ind w:left="567" w:leftChars="270" w:firstLine="560" w:firstLineChars="200"/>
        <w:rPr>
          <w:sz w:val="28"/>
        </w:rPr>
      </w:pPr>
      <w:r>
        <w:rPr>
          <w:sz w:val="28"/>
        </w:rPr>
        <w:t>就被许可方而言，</w:t>
      </w:r>
      <w:r>
        <w:rPr>
          <w:rFonts w:hint="eastAsia"/>
          <w:sz w:val="28"/>
        </w:rPr>
        <w:t>一般希望</w:t>
      </w:r>
      <w:r>
        <w:rPr>
          <w:sz w:val="28"/>
        </w:rPr>
        <w:t>获得更大的许可区域</w:t>
      </w:r>
      <w:r>
        <w:rPr>
          <w:rFonts w:hint="eastAsia"/>
          <w:sz w:val="28"/>
        </w:rPr>
        <w:t>。</w:t>
      </w:r>
      <w:r>
        <w:rPr>
          <w:sz w:val="28"/>
        </w:rPr>
        <w:t>但许可范围的确定需要结合被许可方的研发能力</w:t>
      </w:r>
      <w:r>
        <w:rPr>
          <w:rFonts w:hint="eastAsia"/>
          <w:sz w:val="28"/>
        </w:rPr>
        <w:t>等</w:t>
      </w:r>
      <w:r>
        <w:rPr>
          <w:sz w:val="28"/>
        </w:rPr>
        <w:t>综合实力，以及许可方的需求。合作之初，许可方无法全面了解被许可方在全球各个区域内的科研能力，通常只会给予被许可方一个相对较小的许可区域</w:t>
      </w:r>
      <w:r>
        <w:rPr>
          <w:rFonts w:hint="eastAsia"/>
          <w:sz w:val="28"/>
        </w:rPr>
        <w:t>。</w:t>
      </w:r>
      <w:r>
        <w:rPr>
          <w:sz w:val="28"/>
        </w:rPr>
        <w:t>此时</w:t>
      </w:r>
      <w:r>
        <w:rPr>
          <w:rFonts w:hint="eastAsia"/>
          <w:sz w:val="28"/>
        </w:rPr>
        <w:t>，</w:t>
      </w:r>
      <w:r>
        <w:rPr>
          <w:sz w:val="28"/>
        </w:rPr>
        <w:t>被许可方可以争取一些附条件的扩大许可区域的权利。例如</w:t>
      </w:r>
      <w:r>
        <w:rPr>
          <w:rFonts w:hint="eastAsia"/>
          <w:sz w:val="28"/>
        </w:rPr>
        <w:t>，</w:t>
      </w:r>
      <w:r>
        <w:rPr>
          <w:sz w:val="28"/>
        </w:rPr>
        <w:t>对于药品专利许可，被许可方可以</w:t>
      </w:r>
      <w:r>
        <w:rPr>
          <w:rFonts w:hint="eastAsia"/>
          <w:sz w:val="28"/>
        </w:rPr>
        <w:t>提出</w:t>
      </w:r>
      <w:r>
        <w:rPr>
          <w:sz w:val="28"/>
        </w:rPr>
        <w:t>约定</w:t>
      </w:r>
      <w:r>
        <w:rPr>
          <w:rFonts w:hint="eastAsia"/>
          <w:sz w:val="28"/>
        </w:rPr>
        <w:t>，</w:t>
      </w:r>
      <w:r>
        <w:rPr>
          <w:sz w:val="28"/>
        </w:rPr>
        <w:t>如果被许可方在较短期限内获得了许可产品研发的里程碑审批，则有权进一步扩大许可区域。这种情况下，为了最小化未来的合作风险，许可方</w:t>
      </w:r>
      <w:r>
        <w:rPr>
          <w:rFonts w:hint="eastAsia"/>
          <w:sz w:val="28"/>
        </w:rPr>
        <w:t>可以</w:t>
      </w:r>
      <w:r>
        <w:rPr>
          <w:sz w:val="28"/>
        </w:rPr>
        <w:t>对获得扩大许可区域的被许可方在产品的研发、生产及销售阶段的权利义务进行限制。</w:t>
      </w:r>
    </w:p>
    <w:p w14:paraId="68CEA238">
      <w:pPr>
        <w:spacing w:line="400" w:lineRule="exact"/>
        <w:ind w:left="567" w:leftChars="270"/>
        <w:rPr>
          <w:sz w:val="28"/>
        </w:rPr>
      </w:pPr>
    </w:p>
    <w:p w14:paraId="299B4375">
      <w:pPr>
        <w:spacing w:line="400" w:lineRule="exact"/>
        <w:ind w:left="567" w:leftChars="270"/>
        <w:rPr>
          <w:sz w:val="28"/>
        </w:rPr>
      </w:pPr>
    </w:p>
    <w:p w14:paraId="062C3601">
      <w:pPr>
        <w:numPr>
          <w:ilvl w:val="1"/>
          <w:numId w:val="14"/>
        </w:numPr>
        <w:spacing w:line="400" w:lineRule="exact"/>
        <w:outlineLvl w:val="1"/>
        <w:rPr>
          <w:sz w:val="28"/>
        </w:rPr>
      </w:pPr>
      <w:r>
        <w:rPr>
          <w:rFonts w:hint="eastAsia"/>
          <w:sz w:val="28"/>
        </w:rPr>
        <w:t>许可实施行为</w:t>
      </w:r>
    </w:p>
    <w:p w14:paraId="48D6E31E">
      <w:pPr>
        <w:spacing w:line="400" w:lineRule="exact"/>
        <w:ind w:left="567" w:leftChars="270"/>
        <w:rPr>
          <w:sz w:val="28"/>
        </w:rPr>
      </w:pPr>
    </w:p>
    <w:p w14:paraId="5AB53F20">
      <w:pPr>
        <w:spacing w:line="400" w:lineRule="exact"/>
        <w:ind w:left="567" w:leftChars="270" w:firstLine="560" w:firstLineChars="200"/>
        <w:rPr>
          <w:sz w:val="28"/>
        </w:rPr>
      </w:pPr>
      <w:r>
        <w:rPr>
          <w:sz w:val="28"/>
        </w:rPr>
        <w:t>许可方可以根据自己的许可策略以及被许可方的许可需求、业务经营范围等情况，在许可合同中就被许可方的</w:t>
      </w:r>
      <w:r>
        <w:rPr>
          <w:rFonts w:hint="eastAsia"/>
          <w:sz w:val="28"/>
        </w:rPr>
        <w:t>许可活动</w:t>
      </w:r>
      <w:r>
        <w:rPr>
          <w:sz w:val="28"/>
        </w:rPr>
        <w:t>进行明确约定，如研发、改进、生产、委托生产、销售或委托销售、要约销售、进口、出口等。从司法实践来看，许可方在授予某一项权能的时候，可能也同时将其他权能也一并授予了出去。例如，如无特别约定，授予被许可方享有“销售权”，可能会暗含被许可方同时享有“许诺销售权”和“使用权”；对于方法发明专利权而言，授予被许可方享有“使用权”，可能会暗含被许可方同时享有“制造权”。因此，许可方在对被许可方授权特定的权能时，需要对可能存在的默示许可情况有一定的预见能力。</w:t>
      </w:r>
      <w:r>
        <w:rPr>
          <w:rFonts w:hint="eastAsia"/>
          <w:sz w:val="28"/>
        </w:rPr>
        <w:t>当</w:t>
      </w:r>
      <w:r>
        <w:rPr>
          <w:sz w:val="28"/>
        </w:rPr>
        <w:t>高校科研机构作为许可方</w:t>
      </w:r>
      <w:r>
        <w:rPr>
          <w:rFonts w:hint="eastAsia"/>
          <w:sz w:val="28"/>
        </w:rPr>
        <w:t>时</w:t>
      </w:r>
      <w:r>
        <w:rPr>
          <w:sz w:val="28"/>
        </w:rPr>
        <w:t>，还可以在许可合同中约定，该许可不应影响许可方将许可</w:t>
      </w:r>
      <w:r>
        <w:rPr>
          <w:rFonts w:hint="eastAsia"/>
          <w:sz w:val="28"/>
        </w:rPr>
        <w:t>专利</w:t>
      </w:r>
      <w:r>
        <w:rPr>
          <w:sz w:val="28"/>
        </w:rPr>
        <w:t>用于不涉及商业的学术研究。</w:t>
      </w:r>
    </w:p>
    <w:p w14:paraId="5F491D29">
      <w:pPr>
        <w:spacing w:line="400" w:lineRule="exact"/>
        <w:ind w:left="567" w:leftChars="270"/>
        <w:rPr>
          <w:sz w:val="28"/>
        </w:rPr>
      </w:pPr>
    </w:p>
    <w:p w14:paraId="25E883FB">
      <w:pPr>
        <w:numPr>
          <w:ilvl w:val="1"/>
          <w:numId w:val="14"/>
        </w:numPr>
        <w:spacing w:line="400" w:lineRule="exact"/>
        <w:outlineLvl w:val="1"/>
        <w:rPr>
          <w:sz w:val="28"/>
        </w:rPr>
      </w:pPr>
      <w:r>
        <w:rPr>
          <w:sz w:val="28"/>
        </w:rPr>
        <w:t>分许可</w:t>
      </w:r>
    </w:p>
    <w:p w14:paraId="4157D520">
      <w:pPr>
        <w:spacing w:line="400" w:lineRule="exact"/>
        <w:ind w:left="567" w:leftChars="270"/>
        <w:rPr>
          <w:sz w:val="28"/>
        </w:rPr>
      </w:pPr>
    </w:p>
    <w:p w14:paraId="36319FAD">
      <w:pPr>
        <w:spacing w:line="400" w:lineRule="exact"/>
        <w:ind w:left="567" w:leftChars="270" w:firstLine="560" w:firstLineChars="200"/>
        <w:rPr>
          <w:sz w:val="28"/>
        </w:rPr>
      </w:pPr>
      <w:r>
        <w:rPr>
          <w:sz w:val="28"/>
        </w:rPr>
        <w:t>许可合同需要就被许可方是否享有分许可的权利做出明确约定。</w:t>
      </w:r>
      <w:r>
        <w:rPr>
          <w:rFonts w:hint="eastAsia"/>
          <w:sz w:val="28"/>
        </w:rPr>
        <w:t>一般来说</w:t>
      </w:r>
      <w:r>
        <w:rPr>
          <w:sz w:val="28"/>
        </w:rPr>
        <w:t>，在未经许可方书面同意的情况下，被许可方不得将其许可再次转许可给其他第三方</w:t>
      </w:r>
      <w:r>
        <w:rPr>
          <w:rFonts w:hint="eastAsia"/>
          <w:sz w:val="28"/>
        </w:rPr>
        <w:t>，</w:t>
      </w:r>
      <w:r>
        <w:rPr>
          <w:sz w:val="28"/>
        </w:rPr>
        <w:t>或者在合同中直接约定被许可方不享有分许可的权利。</w:t>
      </w:r>
    </w:p>
    <w:p w14:paraId="0E6184B6">
      <w:pPr>
        <w:spacing w:line="400" w:lineRule="exact"/>
        <w:ind w:left="567" w:leftChars="270"/>
        <w:rPr>
          <w:sz w:val="28"/>
        </w:rPr>
      </w:pPr>
    </w:p>
    <w:p w14:paraId="3917CB4C">
      <w:pPr>
        <w:spacing w:line="400" w:lineRule="exact"/>
        <w:ind w:left="567" w:leftChars="270" w:firstLine="560" w:firstLineChars="200"/>
        <w:rPr>
          <w:sz w:val="28"/>
        </w:rPr>
      </w:pPr>
      <w:r>
        <w:rPr>
          <w:sz w:val="28"/>
        </w:rPr>
        <w:t>考虑到不同产品生产和销售的特点，双方也可以约定被许可方可以将许可产品分许可给被许可方的关联方和第三方</w:t>
      </w:r>
      <w:r>
        <w:rPr>
          <w:rFonts w:hint="eastAsia"/>
          <w:sz w:val="28"/>
        </w:rPr>
        <w:t>，</w:t>
      </w:r>
      <w:r>
        <w:rPr>
          <w:sz w:val="28"/>
        </w:rPr>
        <w:t>以满足生产、销售和推广的要求。如果许可方</w:t>
      </w:r>
      <w:r>
        <w:rPr>
          <w:rFonts w:hint="eastAsia"/>
          <w:sz w:val="28"/>
        </w:rPr>
        <w:t>允</w:t>
      </w:r>
      <w:r>
        <w:rPr>
          <w:sz w:val="28"/>
        </w:rPr>
        <w:t>许被许可方享有分许可的权利，那么许可合同需要明确：</w:t>
      </w:r>
    </w:p>
    <w:p w14:paraId="0571B52C">
      <w:pPr>
        <w:spacing w:line="400" w:lineRule="exact"/>
        <w:ind w:left="567" w:leftChars="270"/>
        <w:rPr>
          <w:sz w:val="28"/>
        </w:rPr>
      </w:pPr>
    </w:p>
    <w:p w14:paraId="012F3A89">
      <w:pPr>
        <w:numPr>
          <w:ilvl w:val="0"/>
          <w:numId w:val="15"/>
        </w:numPr>
        <w:spacing w:line="400" w:lineRule="exact"/>
        <w:rPr>
          <w:sz w:val="28"/>
        </w:rPr>
      </w:pPr>
      <w:r>
        <w:rPr>
          <w:sz w:val="28"/>
        </w:rPr>
        <w:t>被许可方可行使分许可的具体范围；</w:t>
      </w:r>
    </w:p>
    <w:p w14:paraId="0DBD79A4">
      <w:pPr>
        <w:numPr>
          <w:ilvl w:val="0"/>
          <w:numId w:val="15"/>
        </w:numPr>
        <w:spacing w:line="400" w:lineRule="exact"/>
        <w:rPr>
          <w:sz w:val="28"/>
        </w:rPr>
      </w:pPr>
      <w:r>
        <w:rPr>
          <w:sz w:val="28"/>
        </w:rPr>
        <w:t>被许可方在签订分许可合同前，是否需要获得许可方的确认；</w:t>
      </w:r>
    </w:p>
    <w:p w14:paraId="5A2089B9">
      <w:pPr>
        <w:numPr>
          <w:ilvl w:val="0"/>
          <w:numId w:val="15"/>
        </w:numPr>
        <w:spacing w:line="400" w:lineRule="exact"/>
        <w:rPr>
          <w:sz w:val="28"/>
        </w:rPr>
      </w:pPr>
      <w:r>
        <w:rPr>
          <w:sz w:val="28"/>
        </w:rPr>
        <w:t>对于被许可方通过分许可而收取的许可收益，许可方是否有权进行分享，如何进行分享；</w:t>
      </w:r>
    </w:p>
    <w:p w14:paraId="516D0522">
      <w:pPr>
        <w:numPr>
          <w:ilvl w:val="0"/>
          <w:numId w:val="15"/>
        </w:numPr>
        <w:spacing w:line="400" w:lineRule="exact"/>
        <w:rPr>
          <w:sz w:val="28"/>
        </w:rPr>
      </w:pPr>
      <w:r>
        <w:rPr>
          <w:sz w:val="28"/>
        </w:rPr>
        <w:t>许可方与被许可方之间的许可合同终止、解除或者到期后，分许可合同的效力应该如何认定。</w:t>
      </w:r>
    </w:p>
    <w:p w14:paraId="5546A509">
      <w:pPr>
        <w:spacing w:line="400" w:lineRule="exact"/>
        <w:ind w:left="567" w:leftChars="270"/>
        <w:rPr>
          <w:sz w:val="28"/>
        </w:rPr>
      </w:pPr>
    </w:p>
    <w:p w14:paraId="1546AF36">
      <w:pPr>
        <w:spacing w:line="400" w:lineRule="exact"/>
        <w:ind w:left="567" w:leftChars="270" w:firstLine="560" w:firstLineChars="200"/>
        <w:rPr>
          <w:sz w:val="28"/>
        </w:rPr>
      </w:pPr>
      <w:r>
        <w:rPr>
          <w:rFonts w:hint="eastAsia"/>
          <w:sz w:val="28"/>
        </w:rPr>
        <w:t>若双方认为有必要对被分许可方的保密义务、改进成果知识产权、第三方侵权等事宜予以明确，或在被许可方与被分许可方之间设置连带责任，则可进一步予以书面约定。</w:t>
      </w:r>
    </w:p>
    <w:p w14:paraId="7A9574E6">
      <w:pPr>
        <w:spacing w:line="400" w:lineRule="exact"/>
        <w:ind w:left="567" w:leftChars="270"/>
        <w:rPr>
          <w:sz w:val="28"/>
        </w:rPr>
      </w:pPr>
    </w:p>
    <w:p w14:paraId="7C64BC2F">
      <w:pPr>
        <w:spacing w:line="400" w:lineRule="exact"/>
        <w:ind w:left="567" w:leftChars="270"/>
        <w:rPr>
          <w:sz w:val="28"/>
        </w:rPr>
      </w:pPr>
    </w:p>
    <w:p w14:paraId="1ABD05D0">
      <w:pPr>
        <w:numPr>
          <w:ilvl w:val="1"/>
          <w:numId w:val="14"/>
        </w:numPr>
        <w:spacing w:line="400" w:lineRule="exact"/>
        <w:outlineLvl w:val="1"/>
        <w:rPr>
          <w:sz w:val="28"/>
        </w:rPr>
      </w:pPr>
      <w:r>
        <w:rPr>
          <w:rFonts w:hint="eastAsia"/>
          <w:sz w:val="28"/>
        </w:rPr>
        <w:t>专利实施许可合同备案</w:t>
      </w:r>
    </w:p>
    <w:p w14:paraId="0685A693">
      <w:pPr>
        <w:spacing w:line="400" w:lineRule="exact"/>
        <w:ind w:left="567" w:leftChars="270"/>
        <w:rPr>
          <w:sz w:val="28"/>
        </w:rPr>
      </w:pPr>
    </w:p>
    <w:p w14:paraId="0ECC101C">
      <w:pPr>
        <w:widowControl/>
        <w:shd w:val="clear" w:color="auto" w:fill="FFFFFF"/>
        <w:spacing w:line="400" w:lineRule="exact"/>
        <w:ind w:left="567" w:leftChars="270" w:firstLine="560" w:firstLineChars="200"/>
        <w:rPr>
          <w:rFonts w:ascii="宋体" w:hAnsi="宋体" w:cs="宋体"/>
          <w:sz w:val="28"/>
        </w:rPr>
      </w:pPr>
      <w:r>
        <w:rPr>
          <w:rFonts w:hint="eastAsia" w:ascii="宋体" w:hAnsi="宋体" w:cs="宋体"/>
          <w:sz w:val="28"/>
        </w:rPr>
        <w:t>《专利法实施细则》</w:t>
      </w:r>
      <w:r>
        <w:rPr>
          <w:rFonts w:ascii="宋体" w:hAnsi="宋体" w:cs="宋体"/>
          <w:color w:val="333333"/>
          <w:sz w:val="28"/>
          <w:szCs w:val="16"/>
          <w:shd w:val="clear" w:color="auto" w:fill="FFFFFF"/>
        </w:rPr>
        <w:t>第十四条</w:t>
      </w:r>
      <w:r>
        <w:rPr>
          <w:rFonts w:hint="eastAsia" w:ascii="宋体" w:hAnsi="宋体" w:cs="宋体"/>
          <w:sz w:val="28"/>
        </w:rPr>
        <w:t>规定，</w:t>
      </w:r>
      <w:r>
        <w:rPr>
          <w:rFonts w:ascii="宋体" w:hAnsi="宋体" w:cs="宋体"/>
          <w:color w:val="333333"/>
          <w:sz w:val="28"/>
          <w:szCs w:val="16"/>
          <w:shd w:val="clear" w:color="auto" w:fill="FFFFFF"/>
        </w:rPr>
        <w:t>专利权人与他人订立的专利实施许可合同，应当自合同生效之日起3个月内向国务院专利行政部门备案。</w:t>
      </w:r>
    </w:p>
    <w:p w14:paraId="0D917950">
      <w:pPr>
        <w:widowControl/>
        <w:shd w:val="clear" w:color="auto" w:fill="FFFFFF"/>
        <w:spacing w:line="400" w:lineRule="exact"/>
        <w:ind w:left="567" w:leftChars="270" w:firstLine="560" w:firstLineChars="200"/>
        <w:rPr>
          <w:sz w:val="28"/>
        </w:rPr>
      </w:pPr>
    </w:p>
    <w:p w14:paraId="2F1BC7D9">
      <w:pPr>
        <w:widowControl/>
        <w:shd w:val="clear" w:color="auto" w:fill="FFFFFF"/>
        <w:spacing w:line="400" w:lineRule="exact"/>
        <w:ind w:left="567" w:leftChars="270" w:firstLine="560" w:firstLineChars="200"/>
        <w:rPr>
          <w:rFonts w:ascii="微软雅黑" w:hAnsi="微软雅黑" w:eastAsia="微软雅黑" w:cs="微软雅黑"/>
          <w:color w:val="000000" w:themeColor="text1"/>
          <w:sz w:val="28"/>
          <w:szCs w:val="14"/>
        </w:rPr>
      </w:pPr>
      <w:r>
        <w:rPr>
          <w:rFonts w:hint="eastAsia"/>
          <w:sz w:val="28"/>
        </w:rPr>
        <w:t>专利实施许可合同备案对专利维权具有重要意义。</w:t>
      </w:r>
      <w:r>
        <w:rPr>
          <w:rFonts w:hint="eastAsia"/>
          <w:sz w:val="28"/>
          <w:lang w:eastAsia="zh-CN"/>
        </w:rPr>
        <w:t>《中华人民共和国专利法》</w:t>
      </w:r>
      <w:r>
        <w:rPr>
          <w:rFonts w:hint="eastAsia"/>
          <w:sz w:val="28"/>
        </w:rPr>
        <w:t>第七十一条规定，</w:t>
      </w:r>
      <w:r>
        <w:rPr>
          <w:rFonts w:hint="eastAsia" w:ascii="Arial" w:hAnsi="Arial" w:cs="Arial"/>
          <w:color w:val="333333"/>
          <w:sz w:val="28"/>
          <w:szCs w:val="14"/>
          <w:shd w:val="clear" w:color="auto" w:fill="FFFFFF"/>
        </w:rPr>
        <w:t>侵犯专利权的赔偿数额按照权利人因被侵权所受到的实际损失或者侵权人因侵权所获得的利益确定</w:t>
      </w:r>
      <w:r>
        <w:rPr>
          <w:rFonts w:hint="eastAsia"/>
          <w:sz w:val="28"/>
        </w:rPr>
        <w:t>；</w:t>
      </w:r>
      <w:r>
        <w:rPr>
          <w:rFonts w:hint="eastAsia" w:ascii="Arial" w:hAnsi="Arial" w:cs="Arial"/>
          <w:color w:val="333333"/>
          <w:sz w:val="28"/>
          <w:szCs w:val="14"/>
          <w:shd w:val="clear" w:color="auto" w:fill="FFFFFF"/>
        </w:rPr>
        <w:t>权利人的损失或者侵权人获得的利益难以确定的</w:t>
      </w:r>
      <w:r>
        <w:rPr>
          <w:rFonts w:hint="eastAsia"/>
          <w:sz w:val="28"/>
        </w:rPr>
        <w:t>，</w:t>
      </w:r>
      <w:r>
        <w:rPr>
          <w:rFonts w:hint="eastAsia" w:ascii="Arial" w:hAnsi="Arial" w:cs="Arial"/>
          <w:color w:val="333333"/>
          <w:sz w:val="28"/>
          <w:szCs w:val="14"/>
          <w:shd w:val="clear" w:color="auto" w:fill="FFFFFF"/>
        </w:rPr>
        <w:t>参照该专利许可使用费的倍数合理确定。</w:t>
      </w:r>
      <w:r>
        <w:rPr>
          <w:rFonts w:hint="eastAsia" w:ascii="宋体"/>
          <w:sz w:val="28"/>
        </w:rPr>
        <w:t>《专利实施许可合同备案办法》</w:t>
      </w:r>
      <w:r>
        <w:rPr>
          <w:rFonts w:hint="eastAsia" w:ascii="宋体" w:hAnsi="宋体" w:cs="宋体"/>
          <w:sz w:val="28"/>
        </w:rPr>
        <w:t>（国家知识产权局令 第六十二号）</w:t>
      </w:r>
      <w:r>
        <w:rPr>
          <w:rFonts w:ascii="宋体" w:hAnsi="宋体" w:cs="宋体"/>
          <w:color w:val="333333"/>
          <w:sz w:val="28"/>
          <w:szCs w:val="16"/>
          <w:shd w:val="clear" w:color="auto" w:fill="FFFFFF"/>
        </w:rPr>
        <w:t>第十九条</w:t>
      </w:r>
      <w:r>
        <w:rPr>
          <w:rFonts w:hint="eastAsia" w:ascii="宋体" w:hAnsi="宋体" w:cs="宋体"/>
          <w:sz w:val="28"/>
        </w:rPr>
        <w:t>规定，</w:t>
      </w:r>
      <w:r>
        <w:rPr>
          <w:rFonts w:ascii="宋体" w:hAnsi="宋体" w:cs="宋体"/>
          <w:color w:val="333333"/>
          <w:sz w:val="28"/>
          <w:szCs w:val="16"/>
          <w:shd w:val="clear" w:color="auto" w:fill="FFFFFF"/>
        </w:rPr>
        <w:t>经备案的专利实施许可合同的种类、期限、许可使用费计算方法或者数额等，可以作为管理专利工作的部门对侵权赔偿数额进行调解的参照。</w:t>
      </w:r>
      <w:r>
        <w:rPr>
          <w:rFonts w:hint="eastAsia" w:ascii="宋体" w:hAnsi="宋体" w:cs="宋体"/>
          <w:sz w:val="28"/>
        </w:rPr>
        <w:t>《最高人民法院关于知识产权民事诉讼证据的若干规定》第三十二条规定，</w:t>
      </w:r>
      <w:r>
        <w:rPr>
          <w:rFonts w:ascii="宋体" w:hAnsi="宋体" w:cs="宋体"/>
          <w:color w:val="000000" w:themeColor="text1"/>
          <w:sz w:val="28"/>
          <w:szCs w:val="16"/>
          <w:shd w:val="clear" w:color="auto" w:fill="FFFFFF"/>
        </w:rPr>
        <w:t>当事人主张参照知识产权许可使用费的合理倍数确定赔偿数额的，人民法院可以考量下列因素对许可使用费证据进行审核认定：</w:t>
      </w:r>
      <w:r>
        <w:rPr>
          <w:rFonts w:hint="eastAsia" w:ascii="宋体" w:hAnsi="宋体" w:cs="宋体"/>
          <w:color w:val="000000" w:themeColor="text1"/>
          <w:sz w:val="28"/>
          <w:szCs w:val="16"/>
          <w:shd w:val="clear" w:color="auto" w:fill="FFFFFF"/>
        </w:rPr>
        <w:t>（一）许可使用费是否实际支付及支付方式，许可使用合同是否实际履行或者备案</w:t>
      </w:r>
      <w:r>
        <w:rPr>
          <w:rFonts w:hint="eastAsia" w:ascii="宋体" w:hAnsi="宋体" w:cs="宋体"/>
          <w:color w:val="000000" w:themeColor="text1"/>
          <w:sz w:val="28"/>
        </w:rPr>
        <w:t>........。</w:t>
      </w:r>
    </w:p>
    <w:p w14:paraId="709589A1">
      <w:pPr>
        <w:spacing w:line="400" w:lineRule="exact"/>
        <w:ind w:left="567" w:leftChars="270" w:firstLine="560" w:firstLineChars="200"/>
        <w:rPr>
          <w:color w:val="000000" w:themeColor="text1"/>
          <w:sz w:val="28"/>
        </w:rPr>
      </w:pPr>
    </w:p>
    <w:p w14:paraId="2E127812">
      <w:pPr>
        <w:widowControl/>
        <w:shd w:val="clear" w:color="auto" w:fill="FFFFFF"/>
        <w:spacing w:line="400" w:lineRule="exact"/>
        <w:ind w:left="567" w:leftChars="270" w:firstLine="560" w:firstLineChars="200"/>
        <w:rPr>
          <w:rFonts w:ascii="Arial" w:hAnsi="Arial" w:cs="Arial"/>
          <w:color w:val="333333"/>
          <w:sz w:val="28"/>
          <w:szCs w:val="14"/>
          <w:shd w:val="clear" w:color="auto" w:fill="FFFFFF"/>
        </w:rPr>
      </w:pPr>
      <w:r>
        <w:rPr>
          <w:rFonts w:hint="eastAsia" w:ascii="Arial" w:hAnsi="Arial" w:cs="Arial"/>
          <w:color w:val="000000" w:themeColor="text1"/>
          <w:sz w:val="28"/>
          <w:szCs w:val="14"/>
          <w:shd w:val="clear" w:color="auto" w:fill="FFFFFF"/>
        </w:rPr>
        <w:t>需要注意的是，当许可专利处于质押状态时，办理实施许可合同备案需要取得质权人同意。《专利权质押登记办法》（国家知识产权局公告第</w:t>
      </w:r>
      <w:r>
        <w:rPr>
          <w:rFonts w:ascii="Arial" w:hAnsi="Arial" w:cs="Arial"/>
          <w:color w:val="000000" w:themeColor="text1"/>
          <w:sz w:val="28"/>
          <w:szCs w:val="14"/>
          <w:shd w:val="clear" w:color="auto" w:fill="FFFFFF"/>
        </w:rPr>
        <w:t>461号</w:t>
      </w:r>
      <w:r>
        <w:rPr>
          <w:rFonts w:hint="eastAsia" w:ascii="Arial" w:hAnsi="Arial" w:cs="Arial"/>
          <w:color w:val="000000" w:themeColor="text1"/>
          <w:sz w:val="28"/>
          <w:szCs w:val="14"/>
          <w:shd w:val="clear" w:color="auto" w:fill="FFFFFF"/>
        </w:rPr>
        <w:t>）第十八条规定，专利权质押期间，出质人未提交质权人同意许可实施该专利的证明材料的，国家知识产权局不予办理专利实施许可合同备案手</w:t>
      </w:r>
      <w:r>
        <w:rPr>
          <w:rFonts w:hint="eastAsia" w:ascii="Arial" w:hAnsi="Arial" w:cs="Arial"/>
          <w:color w:val="333333"/>
          <w:sz w:val="28"/>
          <w:szCs w:val="14"/>
          <w:shd w:val="clear" w:color="auto" w:fill="FFFFFF"/>
        </w:rPr>
        <w:t>续。</w:t>
      </w:r>
    </w:p>
    <w:p w14:paraId="3EC746BC">
      <w:pPr>
        <w:spacing w:line="400" w:lineRule="exact"/>
        <w:ind w:left="567" w:leftChars="270" w:firstLine="560" w:firstLineChars="200"/>
        <w:rPr>
          <w:color w:val="000000" w:themeColor="text1"/>
          <w:sz w:val="28"/>
        </w:rPr>
      </w:pPr>
    </w:p>
    <w:p w14:paraId="4D905812">
      <w:pPr>
        <w:spacing w:line="400" w:lineRule="exact"/>
        <w:ind w:left="567" w:leftChars="270" w:firstLine="560" w:firstLineChars="200"/>
        <w:rPr>
          <w:sz w:val="28"/>
        </w:rPr>
      </w:pPr>
      <w:r>
        <w:rPr>
          <w:sz w:val="28"/>
          <w:szCs w:val="21"/>
        </w:rPr>
        <w:t>专利实施许可合同备案申请经审查合格的，国家知识产权局在专利登记簿上予以登记，并向当事人发送《专利实施许可合同备案证明》。</w:t>
      </w:r>
      <w:r>
        <w:rPr>
          <w:rFonts w:hint="eastAsia"/>
          <w:sz w:val="28"/>
        </w:rPr>
        <w:t>国家知识产权局和各地专利代办处对于当事人办理专利实施许可合同备案不收取费用。</w:t>
      </w:r>
    </w:p>
    <w:p w14:paraId="56004C47">
      <w:pPr>
        <w:spacing w:line="400" w:lineRule="exact"/>
        <w:ind w:left="567" w:leftChars="270" w:firstLine="560" w:firstLineChars="200"/>
        <w:rPr>
          <w:sz w:val="28"/>
        </w:rPr>
      </w:pPr>
    </w:p>
    <w:p w14:paraId="0F695860">
      <w:pPr>
        <w:spacing w:line="400" w:lineRule="exact"/>
        <w:ind w:left="567" w:leftChars="270" w:firstLine="560" w:firstLineChars="200"/>
        <w:rPr>
          <w:sz w:val="28"/>
          <w:szCs w:val="21"/>
        </w:rPr>
      </w:pPr>
      <w:r>
        <w:rPr>
          <w:rFonts w:hint="eastAsia"/>
          <w:sz w:val="28"/>
          <w:szCs w:val="21"/>
        </w:rPr>
        <w:t>对于就专利申请所订立的许可使用合同的备案，当事人应注意向国家知识产权局备案的专利申请应当为已公开的专利申请。《最高人民法院关于审理技术合同纠纷案件适用法律若干问题的解释》第二十九条规定，当事人之间就申请专利的技术成果所订立的许可使用合同，专利申请公开前，适用技术秘密许可合同的有关规定；发明专利申请公开后、授权以前，参照适用专利实施许可合同的有关规定；授权以后，原合同即为专利实施许可合同，适用专利实施许可合同的有关规定。</w:t>
      </w:r>
      <w:r>
        <w:rPr>
          <w:rFonts w:hint="eastAsia" w:ascii="宋体"/>
          <w:sz w:val="28"/>
        </w:rPr>
        <w:t>《</w:t>
      </w:r>
      <w:r>
        <w:rPr>
          <w:rFonts w:ascii="宋体"/>
          <w:sz w:val="28"/>
          <w:szCs w:val="21"/>
        </w:rPr>
        <w:t>专利实施许可合同备案办法</w:t>
      </w:r>
      <w:r>
        <w:rPr>
          <w:rFonts w:hint="eastAsia" w:ascii="宋体"/>
          <w:sz w:val="28"/>
        </w:rPr>
        <w:t>》（</w:t>
      </w:r>
      <w:r>
        <w:rPr>
          <w:rFonts w:ascii="宋体"/>
          <w:sz w:val="28"/>
          <w:szCs w:val="21"/>
        </w:rPr>
        <w:t>国家知识产权局令 </w:t>
      </w:r>
      <w:r>
        <w:rPr>
          <w:rFonts w:hint="eastAsia" w:ascii="宋体"/>
          <w:sz w:val="28"/>
          <w:szCs w:val="21"/>
        </w:rPr>
        <w:t>第六十二号</w:t>
      </w:r>
      <w:r>
        <w:rPr>
          <w:rFonts w:hint="eastAsia" w:ascii="宋体"/>
          <w:sz w:val="28"/>
        </w:rPr>
        <w:t>）</w:t>
      </w:r>
      <w:r>
        <w:rPr>
          <w:rFonts w:ascii="宋体"/>
          <w:sz w:val="28"/>
          <w:szCs w:val="21"/>
        </w:rPr>
        <w:t>第二十条</w:t>
      </w:r>
      <w:r>
        <w:rPr>
          <w:rFonts w:hint="eastAsia" w:ascii="宋体"/>
          <w:sz w:val="28"/>
        </w:rPr>
        <w:t>规定，</w:t>
      </w:r>
      <w:r>
        <w:rPr>
          <w:rFonts w:ascii="宋体"/>
          <w:sz w:val="28"/>
          <w:szCs w:val="21"/>
        </w:rPr>
        <w:t>当事人以专利申请实施许可合同申请备案的，参照本办法执行。申请备案时，专利申请被驳回、撤回或者视为撤回的，不予备案。</w:t>
      </w:r>
    </w:p>
    <w:p w14:paraId="7840A053">
      <w:pPr>
        <w:spacing w:line="400" w:lineRule="exact"/>
        <w:ind w:left="567" w:leftChars="270" w:firstLine="560" w:firstLineChars="200"/>
        <w:rPr>
          <w:sz w:val="28"/>
        </w:rPr>
      </w:pPr>
    </w:p>
    <w:p w14:paraId="1B1D6400">
      <w:pPr>
        <w:spacing w:line="400" w:lineRule="exact"/>
        <w:rPr>
          <w:sz w:val="28"/>
        </w:rPr>
      </w:pPr>
    </w:p>
    <w:p w14:paraId="700A882E">
      <w:pPr>
        <w:numPr>
          <w:ilvl w:val="0"/>
          <w:numId w:val="13"/>
        </w:numPr>
        <w:spacing w:line="400" w:lineRule="exact"/>
        <w:outlineLvl w:val="0"/>
        <w:rPr>
          <w:rFonts w:eastAsia="黑体"/>
          <w:sz w:val="28"/>
        </w:rPr>
      </w:pPr>
      <w:r>
        <w:rPr>
          <w:rFonts w:eastAsia="黑体"/>
          <w:sz w:val="28"/>
        </w:rPr>
        <w:t>许可费及支付方式</w:t>
      </w:r>
    </w:p>
    <w:p w14:paraId="077D3271">
      <w:pPr>
        <w:spacing w:line="400" w:lineRule="exact"/>
        <w:ind w:firstLine="570"/>
        <w:rPr>
          <w:sz w:val="28"/>
        </w:rPr>
      </w:pPr>
      <w:r>
        <w:rPr>
          <w:sz w:val="28"/>
        </w:rPr>
        <w:t>根据双方之间的商业安排以及许可专利范围的不同，许可费及支付方式会各有不同。许可费的支付方式一般分为如下几种：</w:t>
      </w:r>
    </w:p>
    <w:p w14:paraId="0B2C88C6">
      <w:pPr>
        <w:spacing w:line="400" w:lineRule="exact"/>
        <w:ind w:firstLine="570"/>
        <w:rPr>
          <w:sz w:val="28"/>
        </w:rPr>
      </w:pPr>
    </w:p>
    <w:p w14:paraId="558DB119">
      <w:pPr>
        <w:numPr>
          <w:ilvl w:val="1"/>
          <w:numId w:val="16"/>
        </w:numPr>
        <w:spacing w:line="400" w:lineRule="exact"/>
        <w:outlineLvl w:val="1"/>
        <w:rPr>
          <w:sz w:val="28"/>
        </w:rPr>
      </w:pPr>
      <w:r>
        <w:rPr>
          <w:sz w:val="28"/>
        </w:rPr>
        <w:t>固定费用</w:t>
      </w:r>
    </w:p>
    <w:p w14:paraId="53AD43E0">
      <w:pPr>
        <w:spacing w:line="400" w:lineRule="exact"/>
        <w:ind w:firstLine="570"/>
        <w:rPr>
          <w:sz w:val="28"/>
        </w:rPr>
      </w:pPr>
    </w:p>
    <w:p w14:paraId="52054BBC">
      <w:pPr>
        <w:spacing w:line="400" w:lineRule="exact"/>
        <w:ind w:left="567" w:leftChars="270"/>
        <w:rPr>
          <w:sz w:val="28"/>
        </w:rPr>
      </w:pPr>
      <w:r>
        <w:rPr>
          <w:sz w:val="28"/>
        </w:rPr>
        <w:t>固定费用根据其支付方式又可以细分为一次性付款和分期付款。</w:t>
      </w:r>
    </w:p>
    <w:p w14:paraId="59612F09">
      <w:pPr>
        <w:spacing w:line="400" w:lineRule="exact"/>
        <w:ind w:left="567" w:leftChars="270" w:firstLine="570"/>
        <w:rPr>
          <w:sz w:val="28"/>
        </w:rPr>
      </w:pPr>
    </w:p>
    <w:p w14:paraId="4CC6E91E">
      <w:pPr>
        <w:numPr>
          <w:ilvl w:val="2"/>
          <w:numId w:val="16"/>
        </w:numPr>
        <w:spacing w:line="400" w:lineRule="exact"/>
        <w:ind w:left="567" w:leftChars="270"/>
        <w:rPr>
          <w:sz w:val="28"/>
        </w:rPr>
      </w:pPr>
      <w:r>
        <w:rPr>
          <w:sz w:val="28"/>
        </w:rPr>
        <w:t>一次性付款。一次性付款需要被许可方一次性将许可费结清，这对被许可方的资金支付能力要求比较高。</w:t>
      </w:r>
    </w:p>
    <w:p w14:paraId="086544C9">
      <w:pPr>
        <w:spacing w:line="400" w:lineRule="exact"/>
        <w:ind w:left="567" w:leftChars="270" w:firstLine="570"/>
        <w:rPr>
          <w:sz w:val="28"/>
        </w:rPr>
      </w:pPr>
    </w:p>
    <w:p w14:paraId="29119FE2">
      <w:pPr>
        <w:numPr>
          <w:ilvl w:val="2"/>
          <w:numId w:val="16"/>
        </w:numPr>
        <w:spacing w:line="400" w:lineRule="exact"/>
        <w:ind w:left="567" w:leftChars="270"/>
        <w:rPr>
          <w:sz w:val="28"/>
        </w:rPr>
      </w:pPr>
      <w:r>
        <w:rPr>
          <w:sz w:val="28"/>
        </w:rPr>
        <w:t>分期付款。分期付款可以将许可方与被许可方的利益和风险密切结合，有利于促进许可方更关心</w:t>
      </w:r>
      <w:r>
        <w:rPr>
          <w:rFonts w:hint="eastAsia"/>
          <w:sz w:val="28"/>
        </w:rPr>
        <w:t>、</w:t>
      </w:r>
      <w:r>
        <w:rPr>
          <w:sz w:val="28"/>
        </w:rPr>
        <w:t>更愿意协调被许可方尽快掌握专利技术并投产，有利于减轻被许可方的财务负担</w:t>
      </w:r>
      <w:r>
        <w:rPr>
          <w:rFonts w:hint="eastAsia"/>
          <w:sz w:val="28"/>
        </w:rPr>
        <w:t>。</w:t>
      </w:r>
      <w:r>
        <w:rPr>
          <w:sz w:val="28"/>
        </w:rPr>
        <w:t>同时</w:t>
      </w:r>
      <w:r>
        <w:rPr>
          <w:rFonts w:hint="eastAsia"/>
          <w:sz w:val="28"/>
        </w:rPr>
        <w:t>，</w:t>
      </w:r>
      <w:r>
        <w:rPr>
          <w:sz w:val="28"/>
        </w:rPr>
        <w:t>若许可方出现违约或</w:t>
      </w:r>
      <w:r>
        <w:rPr>
          <w:rFonts w:hint="eastAsia"/>
          <w:sz w:val="28"/>
        </w:rPr>
        <w:t>许可专利</w:t>
      </w:r>
      <w:r>
        <w:rPr>
          <w:sz w:val="28"/>
        </w:rPr>
        <w:t>达不到预期技术指标时，被许可方可以调整许可费甚至停止支付，对被许可方提供较大的保护。</w:t>
      </w:r>
    </w:p>
    <w:p w14:paraId="24457D5F">
      <w:pPr>
        <w:spacing w:line="400" w:lineRule="exact"/>
        <w:ind w:left="567" w:leftChars="270"/>
        <w:rPr>
          <w:sz w:val="28"/>
        </w:rPr>
      </w:pPr>
    </w:p>
    <w:p w14:paraId="2EAFCDC3">
      <w:pPr>
        <w:spacing w:line="400" w:lineRule="exact"/>
        <w:ind w:left="567" w:leftChars="270"/>
        <w:rPr>
          <w:sz w:val="28"/>
        </w:rPr>
      </w:pPr>
      <w:r>
        <w:rPr>
          <w:sz w:val="28"/>
        </w:rPr>
        <w:t>固定费用支付方式对被许可方有利</w:t>
      </w:r>
      <w:r>
        <w:rPr>
          <w:rFonts w:hint="eastAsia"/>
          <w:sz w:val="28"/>
        </w:rPr>
        <w:t>之处</w:t>
      </w:r>
      <w:r>
        <w:rPr>
          <w:sz w:val="28"/>
        </w:rPr>
        <w:t>在于</w:t>
      </w:r>
      <w:r>
        <w:rPr>
          <w:rFonts w:hint="eastAsia"/>
          <w:sz w:val="28"/>
        </w:rPr>
        <w:t>，</w:t>
      </w:r>
      <w:r>
        <w:rPr>
          <w:sz w:val="28"/>
        </w:rPr>
        <w:t>被许可方无需定期对其生产或销售情况向</w:t>
      </w:r>
      <w:r>
        <w:rPr>
          <w:rFonts w:hint="eastAsia"/>
          <w:sz w:val="28"/>
        </w:rPr>
        <w:t>许可方</w:t>
      </w:r>
      <w:r>
        <w:rPr>
          <w:sz w:val="28"/>
        </w:rPr>
        <w:t>进行报告</w:t>
      </w:r>
      <w:r>
        <w:rPr>
          <w:rFonts w:hint="eastAsia"/>
          <w:sz w:val="28"/>
        </w:rPr>
        <w:t>。</w:t>
      </w:r>
      <w:r>
        <w:rPr>
          <w:sz w:val="28"/>
        </w:rPr>
        <w:t>同时，也减少了因提交专利使用情况报告而带来的额外开支</w:t>
      </w:r>
      <w:r>
        <w:rPr>
          <w:rFonts w:hint="eastAsia"/>
          <w:sz w:val="28"/>
        </w:rPr>
        <w:t>，</w:t>
      </w:r>
      <w:r>
        <w:rPr>
          <w:sz w:val="28"/>
        </w:rPr>
        <w:t>以及因许可方入场进行生产或销售情况审计而对其生产经营活动带来不利影响。</w:t>
      </w:r>
    </w:p>
    <w:p w14:paraId="63F28826">
      <w:pPr>
        <w:spacing w:line="400" w:lineRule="exact"/>
        <w:ind w:firstLine="570"/>
        <w:rPr>
          <w:sz w:val="28"/>
        </w:rPr>
      </w:pPr>
    </w:p>
    <w:p w14:paraId="3861CF02">
      <w:pPr>
        <w:numPr>
          <w:ilvl w:val="1"/>
          <w:numId w:val="16"/>
        </w:numPr>
        <w:spacing w:line="400" w:lineRule="exact"/>
        <w:outlineLvl w:val="1"/>
        <w:rPr>
          <w:sz w:val="28"/>
        </w:rPr>
      </w:pPr>
      <w:r>
        <w:rPr>
          <w:sz w:val="28"/>
        </w:rPr>
        <w:t>里程碑费用</w:t>
      </w:r>
    </w:p>
    <w:p w14:paraId="1B251E12">
      <w:pPr>
        <w:spacing w:line="400" w:lineRule="exact"/>
        <w:ind w:firstLine="570"/>
        <w:rPr>
          <w:sz w:val="28"/>
        </w:rPr>
      </w:pPr>
    </w:p>
    <w:p w14:paraId="2B063855">
      <w:pPr>
        <w:spacing w:line="400" w:lineRule="exact"/>
        <w:ind w:left="567" w:leftChars="270"/>
        <w:rPr>
          <w:sz w:val="28"/>
        </w:rPr>
      </w:pPr>
      <w:r>
        <w:rPr>
          <w:sz w:val="28"/>
        </w:rPr>
        <w:t>对于</w:t>
      </w:r>
      <w:r>
        <w:rPr>
          <w:rFonts w:hint="eastAsia"/>
          <w:sz w:val="28"/>
        </w:rPr>
        <w:t>部分</w:t>
      </w:r>
      <w:r>
        <w:rPr>
          <w:sz w:val="28"/>
        </w:rPr>
        <w:t>专利许可</w:t>
      </w:r>
      <w:r>
        <w:rPr>
          <w:rFonts w:hint="eastAsia"/>
          <w:sz w:val="28"/>
        </w:rPr>
        <w:t>（例如药品专利许可）</w:t>
      </w:r>
      <w:r>
        <w:rPr>
          <w:sz w:val="28"/>
        </w:rPr>
        <w:t>，由于</w:t>
      </w:r>
      <w:r>
        <w:rPr>
          <w:rFonts w:hint="eastAsia"/>
          <w:sz w:val="28"/>
        </w:rPr>
        <w:t>许可产品的研发</w:t>
      </w:r>
      <w:r>
        <w:rPr>
          <w:sz w:val="28"/>
        </w:rPr>
        <w:t>是一项长期工作，被许可方利用</w:t>
      </w:r>
      <w:r>
        <w:rPr>
          <w:rFonts w:hint="eastAsia"/>
          <w:sz w:val="28"/>
        </w:rPr>
        <w:t>许可专利</w:t>
      </w:r>
      <w:r>
        <w:rPr>
          <w:sz w:val="28"/>
        </w:rPr>
        <w:t>进行产品开发期间可能受到多方面因素的影响，</w:t>
      </w:r>
      <w:r>
        <w:rPr>
          <w:rFonts w:hint="eastAsia"/>
          <w:sz w:val="28"/>
        </w:rPr>
        <w:t>其</w:t>
      </w:r>
      <w:r>
        <w:rPr>
          <w:sz w:val="28"/>
        </w:rPr>
        <w:t>进度</w:t>
      </w:r>
      <w:r>
        <w:rPr>
          <w:rFonts w:hint="eastAsia"/>
          <w:sz w:val="28"/>
        </w:rPr>
        <w:t>与</w:t>
      </w:r>
      <w:r>
        <w:rPr>
          <w:sz w:val="28"/>
        </w:rPr>
        <w:t>结果存在不确定性</w:t>
      </w:r>
      <w:r>
        <w:rPr>
          <w:rFonts w:hint="eastAsia"/>
          <w:sz w:val="28"/>
        </w:rPr>
        <w:t>。</w:t>
      </w:r>
      <w:r>
        <w:rPr>
          <w:sz w:val="28"/>
        </w:rPr>
        <w:t>因此</w:t>
      </w:r>
      <w:r>
        <w:rPr>
          <w:rFonts w:hint="eastAsia"/>
          <w:sz w:val="28"/>
        </w:rPr>
        <w:t>，</w:t>
      </w:r>
      <w:r>
        <w:rPr>
          <w:sz w:val="28"/>
        </w:rPr>
        <w:t>被许可方通常会要求以某</w:t>
      </w:r>
      <w:r>
        <w:rPr>
          <w:rFonts w:hint="eastAsia"/>
          <w:sz w:val="28"/>
        </w:rPr>
        <w:t>个里程牌式的</w:t>
      </w:r>
      <w:r>
        <w:rPr>
          <w:sz w:val="28"/>
        </w:rPr>
        <w:t>特定事项的达成（例如完成某期临床实验、提交指定药品注册申请、公司成为药品上市许可持有人等）来支付费用。约定里程碑费用可以减轻被许可方的前期资金压力，同时还可以减少技术开发失败带来的风险。</w:t>
      </w:r>
    </w:p>
    <w:p w14:paraId="04D8CD9F">
      <w:pPr>
        <w:spacing w:line="400" w:lineRule="exact"/>
        <w:ind w:firstLine="570"/>
        <w:rPr>
          <w:sz w:val="28"/>
        </w:rPr>
      </w:pPr>
    </w:p>
    <w:p w14:paraId="40DCEF1B">
      <w:pPr>
        <w:numPr>
          <w:ilvl w:val="1"/>
          <w:numId w:val="16"/>
        </w:numPr>
        <w:spacing w:line="400" w:lineRule="exact"/>
        <w:outlineLvl w:val="1"/>
        <w:rPr>
          <w:sz w:val="28"/>
        </w:rPr>
      </w:pPr>
      <w:r>
        <w:rPr>
          <w:sz w:val="28"/>
        </w:rPr>
        <w:t>提成费用</w:t>
      </w:r>
    </w:p>
    <w:p w14:paraId="349C1B21">
      <w:pPr>
        <w:spacing w:line="400" w:lineRule="exact"/>
        <w:ind w:firstLine="570"/>
        <w:rPr>
          <w:sz w:val="28"/>
        </w:rPr>
      </w:pPr>
    </w:p>
    <w:p w14:paraId="177194DD">
      <w:pPr>
        <w:numPr>
          <w:ilvl w:val="2"/>
          <w:numId w:val="16"/>
        </w:numPr>
        <w:spacing w:line="400" w:lineRule="exact"/>
        <w:ind w:left="567" w:leftChars="270"/>
        <w:rPr>
          <w:sz w:val="28"/>
        </w:rPr>
      </w:pPr>
      <w:r>
        <w:rPr>
          <w:sz w:val="28"/>
        </w:rPr>
        <w:t>入门费。入门费一般会约定为固定的金额，在合同签署之日后的一定时间内支付，且一般不会设置其他付款前提。根据许可专利的价值和许可范围，入门费的金额也会有区别。</w:t>
      </w:r>
    </w:p>
    <w:p w14:paraId="733D9DE4">
      <w:pPr>
        <w:spacing w:line="400" w:lineRule="exact"/>
        <w:ind w:firstLine="570"/>
        <w:rPr>
          <w:sz w:val="28"/>
        </w:rPr>
      </w:pPr>
    </w:p>
    <w:p w14:paraId="4A17243B">
      <w:pPr>
        <w:numPr>
          <w:ilvl w:val="2"/>
          <w:numId w:val="16"/>
        </w:numPr>
        <w:spacing w:line="400" w:lineRule="exact"/>
        <w:ind w:left="567" w:leftChars="270"/>
        <w:rPr>
          <w:sz w:val="28"/>
        </w:rPr>
      </w:pPr>
      <w:r>
        <w:rPr>
          <w:sz w:val="28"/>
        </w:rPr>
        <w:t>销售额提成。是指当许可产品在许可区域上市销售后，由被许可方从其每月/半年/年净销售额中按照双方约定的一定比例向许可方支付不可退还的提成。</w:t>
      </w:r>
      <w:r>
        <w:rPr>
          <w:rFonts w:hint="eastAsia"/>
          <w:sz w:val="28"/>
        </w:rPr>
        <w:t>双方应当注意关于净销售额的定义，减少后续计算相关价款时出现争议的风险，对于销售主体、计入依据、扣减范围等事项，双方可在附件一等处另行明确约定。</w:t>
      </w:r>
    </w:p>
    <w:p w14:paraId="366DA162">
      <w:pPr>
        <w:spacing w:line="400" w:lineRule="exact"/>
        <w:ind w:left="1275" w:leftChars="607"/>
        <w:rPr>
          <w:sz w:val="28"/>
        </w:rPr>
      </w:pPr>
    </w:p>
    <w:p w14:paraId="659DFA69">
      <w:pPr>
        <w:spacing w:line="400" w:lineRule="exact"/>
        <w:ind w:left="1275" w:leftChars="607"/>
        <w:rPr>
          <w:sz w:val="28"/>
        </w:rPr>
      </w:pPr>
      <w:r>
        <w:rPr>
          <w:sz w:val="28"/>
        </w:rPr>
        <w:t>由于销售提成的计算与净销售额紧密相关，在允许分许可</w:t>
      </w:r>
      <w:r>
        <w:rPr>
          <w:rFonts w:hint="eastAsia"/>
          <w:sz w:val="28"/>
        </w:rPr>
        <w:t>、</w:t>
      </w:r>
      <w:r>
        <w:rPr>
          <w:sz w:val="28"/>
        </w:rPr>
        <w:t>出现多个被许可方同时实施许可的情况下，许可方收取许可费用就更加困难，因此</w:t>
      </w:r>
      <w:r>
        <w:rPr>
          <w:rFonts w:hint="eastAsia"/>
          <w:sz w:val="28"/>
        </w:rPr>
        <w:t>，</w:t>
      </w:r>
      <w:r>
        <w:rPr>
          <w:sz w:val="28"/>
        </w:rPr>
        <w:t>许可方通常会要求对被许可方的销售、库存等财务数据进行审计和查账。作为被许可方，其拥有该许可产品的销售数据，有义务向许可方提供该销售数据，以及合理的支持材料，如第三方审计机构出具的报告。在许可方认为被许可方提供的销售数据存在疑问时，有权利要求被许可方对其进行解释或提供更进一步的说明材料。有时，许可方也可自行委派第三方审计机构对该销售数据进行核实。如果审计结果与被许可方出具的报告不符合，许可方还可以约定在审计不符合标准情况下的处理方式。相应地，对产生的额外的审计费用，双方也应当在许可合同中明确约定。</w:t>
      </w:r>
    </w:p>
    <w:p w14:paraId="4FBEE053">
      <w:pPr>
        <w:spacing w:line="400" w:lineRule="exact"/>
        <w:ind w:left="1275" w:leftChars="607"/>
        <w:rPr>
          <w:sz w:val="28"/>
        </w:rPr>
      </w:pPr>
    </w:p>
    <w:p w14:paraId="26A5D53C">
      <w:pPr>
        <w:numPr>
          <w:ilvl w:val="2"/>
          <w:numId w:val="16"/>
        </w:numPr>
        <w:spacing w:line="400" w:lineRule="exact"/>
        <w:ind w:left="567" w:leftChars="270"/>
        <w:rPr>
          <w:sz w:val="28"/>
        </w:rPr>
      </w:pPr>
      <w:r>
        <w:rPr>
          <w:sz w:val="28"/>
        </w:rPr>
        <w:t>利润额提成费用</w:t>
      </w:r>
    </w:p>
    <w:p w14:paraId="2E3A6B5E">
      <w:pPr>
        <w:spacing w:line="400" w:lineRule="exact"/>
        <w:ind w:left="1275" w:leftChars="607"/>
        <w:rPr>
          <w:sz w:val="28"/>
        </w:rPr>
      </w:pPr>
    </w:p>
    <w:p w14:paraId="6C38B55B">
      <w:pPr>
        <w:spacing w:line="400" w:lineRule="exact"/>
        <w:ind w:left="1275" w:leftChars="607"/>
        <w:rPr>
          <w:sz w:val="28"/>
        </w:rPr>
      </w:pPr>
      <w:r>
        <w:rPr>
          <w:sz w:val="28"/>
        </w:rPr>
        <w:t>与由被许可方从净销售额中按照双方约定的一定比例向许可方支付许可费不同，利润额提成费用的计算基数为被许可方许可产品的净利润额。对被许可方来说，其通常希望将所有与许可产品相关的成本从实际销售价格中扣除，从而降低销售提成的计算基数，</w:t>
      </w:r>
      <w:r>
        <w:rPr>
          <w:rFonts w:hint="eastAsia"/>
          <w:sz w:val="28"/>
        </w:rPr>
        <w:t>而许可方则希望对可扣除的成本范围予以限制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14:paraId="13BE9BD1">
      <w:pPr>
        <w:spacing w:line="400" w:lineRule="exact"/>
        <w:ind w:left="1275" w:leftChars="607"/>
        <w:rPr>
          <w:sz w:val="28"/>
        </w:rPr>
      </w:pPr>
    </w:p>
    <w:p w14:paraId="5D74CAE6">
      <w:pPr>
        <w:widowControl/>
        <w:numPr>
          <w:ilvl w:val="1"/>
          <w:numId w:val="16"/>
        </w:numPr>
        <w:spacing w:line="400" w:lineRule="exact"/>
        <w:outlineLvl w:val="1"/>
        <w:rPr>
          <w:rFonts w:ascii="宋体" w:hAnsi="宋体"/>
          <w:bCs/>
          <w:sz w:val="28"/>
          <w:szCs w:val="28"/>
        </w:rPr>
      </w:pPr>
      <w:bookmarkStart w:id="3" w:name="_Hlk100867396"/>
      <w:r>
        <w:rPr>
          <w:rFonts w:hint="eastAsia" w:ascii="宋体" w:hAnsi="宋体"/>
          <w:bCs/>
          <w:sz w:val="28"/>
          <w:szCs w:val="28"/>
        </w:rPr>
        <w:t>国际结算方式</w:t>
      </w:r>
    </w:p>
    <w:p w14:paraId="431F8614">
      <w:pPr>
        <w:spacing w:line="400" w:lineRule="exact"/>
        <w:ind w:left="567" w:leftChars="270"/>
        <w:rPr>
          <w:rFonts w:ascii="宋体" w:hAnsi="宋体"/>
          <w:bCs/>
          <w:sz w:val="28"/>
          <w:szCs w:val="28"/>
        </w:rPr>
      </w:pPr>
    </w:p>
    <w:p w14:paraId="497A8025">
      <w:pPr>
        <w:spacing w:line="400" w:lineRule="exact"/>
        <w:ind w:left="567" w:leftChars="270" w:firstLine="560" w:firstLineChars="200"/>
        <w:rPr>
          <w:rFonts w:ascii="宋体" w:hAnsi="宋体"/>
          <w:bCs/>
          <w:sz w:val="28"/>
          <w:szCs w:val="28"/>
        </w:rPr>
      </w:pPr>
      <w:r>
        <w:rPr>
          <w:rFonts w:hint="eastAsia" w:ascii="宋体" w:hAnsi="宋体"/>
          <w:bCs/>
          <w:sz w:val="28"/>
          <w:szCs w:val="28"/>
        </w:rPr>
        <w:t>若该合同为跨境专利实施许可合同，则须采用国际结算方式，常见有国际汇付、国际托收、国际信用证、国际保理等。国际汇付是由被许可方主动将价款汇给许可方的结算方式，包括订货付现、见单付款、交单付现。国际托收是由许可方对被许可方开立汇票，委托银行向被许可方收取价款的结算方式。国际信用证是由开证银行根据开证人请求或自身需要，开给第三人（受益人）的一种在一定条件下保证付款的凭证。国际保理是指许可方根据应收账款发票和装运单据转让给保理商即可收取价款，由保理商承担被许可方不付款或逾期付款责任的结算方式，包括有追索权的保理和无追索权的保理。</w:t>
      </w:r>
    </w:p>
    <w:p w14:paraId="033424F3">
      <w:pPr>
        <w:spacing w:line="400" w:lineRule="exact"/>
        <w:ind w:left="567" w:leftChars="270"/>
        <w:rPr>
          <w:sz w:val="28"/>
        </w:rPr>
      </w:pPr>
    </w:p>
    <w:p w14:paraId="1F31DF52">
      <w:pPr>
        <w:spacing w:line="400" w:lineRule="exact"/>
        <w:ind w:left="567" w:leftChars="270" w:firstLine="560" w:firstLineChars="200"/>
        <w:rPr>
          <w:sz w:val="28"/>
        </w:rPr>
      </w:pPr>
      <w:r>
        <w:rPr>
          <w:rFonts w:hint="eastAsia"/>
          <w:sz w:val="28"/>
        </w:rPr>
        <w:t>国际汇付和国际托收下银行不对价款给予任何担保，是否支付完全取决于买方信用，适用于双方合作关系良好的情形，较为便利；而国际信用证、国际保理下由银行或保理商承担买方违约的风险，更利于许可方。</w:t>
      </w:r>
    </w:p>
    <w:bookmarkEnd w:id="3"/>
    <w:p w14:paraId="02D730D2">
      <w:pPr>
        <w:spacing w:line="400" w:lineRule="exact"/>
        <w:ind w:left="567" w:leftChars="270"/>
        <w:rPr>
          <w:sz w:val="28"/>
        </w:rPr>
      </w:pPr>
    </w:p>
    <w:p w14:paraId="0276563A">
      <w:pPr>
        <w:numPr>
          <w:ilvl w:val="0"/>
          <w:numId w:val="13"/>
        </w:numPr>
        <w:spacing w:line="400" w:lineRule="exact"/>
        <w:outlineLvl w:val="0"/>
        <w:rPr>
          <w:rFonts w:eastAsia="黑体"/>
          <w:sz w:val="28"/>
        </w:rPr>
      </w:pPr>
      <w:r>
        <w:rPr>
          <w:rFonts w:hint="eastAsia" w:eastAsia="黑体"/>
          <w:sz w:val="28"/>
        </w:rPr>
        <w:t>技术资料的交付与验收 （选填）</w:t>
      </w:r>
    </w:p>
    <w:p w14:paraId="6B11ADEA">
      <w:pPr>
        <w:spacing w:line="400" w:lineRule="exact"/>
        <w:ind w:firstLine="570"/>
        <w:rPr>
          <w:sz w:val="28"/>
        </w:rPr>
      </w:pPr>
      <w:r>
        <w:rPr>
          <w:rFonts w:hint="eastAsia"/>
          <w:sz w:val="28"/>
        </w:rPr>
        <w:t>许可合同双方应当在合同中明确约定许可资料的交付与验收标准，将验收标准通过清单的形式列明，并作为附件。通常而言，</w:t>
      </w:r>
      <w:r>
        <w:rPr>
          <w:sz w:val="28"/>
        </w:rPr>
        <w:t>在</w:t>
      </w:r>
      <w:r>
        <w:rPr>
          <w:rFonts w:hint="eastAsia"/>
          <w:sz w:val="28"/>
        </w:rPr>
        <w:t>许可专利为发明或实用新型时，</w:t>
      </w:r>
      <w:r>
        <w:rPr>
          <w:sz w:val="28"/>
        </w:rPr>
        <w:t>需考虑配方、工艺、图纸或相关技术秘密是否应当被列入</w:t>
      </w:r>
      <w:r>
        <w:rPr>
          <w:rFonts w:hint="eastAsia"/>
          <w:sz w:val="28"/>
        </w:rPr>
        <w:t>技术资料中</w:t>
      </w:r>
      <w:r>
        <w:rPr>
          <w:sz w:val="28"/>
        </w:rPr>
        <w:t>，外观设计</w:t>
      </w:r>
      <w:r>
        <w:rPr>
          <w:rFonts w:hint="eastAsia"/>
          <w:sz w:val="28"/>
        </w:rPr>
        <w:t>通常不涉及技术秘密相关内容。</w:t>
      </w:r>
    </w:p>
    <w:p w14:paraId="374F93FD">
      <w:pPr>
        <w:spacing w:line="400" w:lineRule="exact"/>
        <w:ind w:firstLine="570"/>
        <w:rPr>
          <w:sz w:val="28"/>
        </w:rPr>
      </w:pPr>
    </w:p>
    <w:p w14:paraId="60550160">
      <w:pPr>
        <w:spacing w:line="400" w:lineRule="exact"/>
        <w:ind w:firstLine="570"/>
        <w:rPr>
          <w:sz w:val="28"/>
        </w:rPr>
      </w:pPr>
      <w:r>
        <w:rPr>
          <w:rFonts w:hint="eastAsia"/>
          <w:sz w:val="28"/>
        </w:rPr>
        <w:t>双方在约定交付条件时，应当明确技术资料的交付时间、地点、方式。如采用邮递形式交付，则交付时间通常为邮戳日，如当面交付，则交付时间为被许可方的签收日。上述交付条件之所以需明确约定，在于一旦技术资料按照合同约定实现了交付，则对技术资料的保管责任也会从许可方转移至被许可方。</w:t>
      </w:r>
    </w:p>
    <w:p w14:paraId="1CF3B22F">
      <w:pPr>
        <w:spacing w:line="400" w:lineRule="exact"/>
        <w:ind w:firstLine="570"/>
        <w:rPr>
          <w:sz w:val="28"/>
        </w:rPr>
      </w:pPr>
    </w:p>
    <w:p w14:paraId="6BD763A1">
      <w:pPr>
        <w:spacing w:line="400" w:lineRule="exact"/>
        <w:ind w:firstLine="570"/>
        <w:rPr>
          <w:sz w:val="28"/>
        </w:rPr>
      </w:pPr>
      <w:r>
        <w:rPr>
          <w:rFonts w:hint="eastAsia"/>
          <w:sz w:val="28"/>
        </w:rPr>
        <w:t>对于技术资料的验收，双方应当严格按照合同附件所列的验收标准执行。被许可方可以自行验收，也可以委托第三方进行验收。对于验收不合格的情况，双方应约定此种情况下双方的权利义务，例如，允许补救的次数、是否允许终止合同、验收费用的承担、验收报告的签署等。</w:t>
      </w:r>
    </w:p>
    <w:p w14:paraId="16D787F8">
      <w:pPr>
        <w:spacing w:line="400" w:lineRule="exact"/>
        <w:ind w:firstLine="570"/>
        <w:rPr>
          <w:sz w:val="28"/>
        </w:rPr>
      </w:pPr>
    </w:p>
    <w:p w14:paraId="5716C66B">
      <w:pPr>
        <w:numPr>
          <w:ilvl w:val="0"/>
          <w:numId w:val="13"/>
        </w:numPr>
        <w:spacing w:line="400" w:lineRule="exact"/>
        <w:outlineLvl w:val="0"/>
        <w:rPr>
          <w:rFonts w:eastAsia="黑体"/>
          <w:sz w:val="28"/>
        </w:rPr>
      </w:pPr>
      <w:r>
        <w:rPr>
          <w:rFonts w:hint="eastAsia" w:eastAsia="黑体"/>
          <w:sz w:val="28"/>
        </w:rPr>
        <w:t>技术服务与培训 （选填）</w:t>
      </w:r>
    </w:p>
    <w:p w14:paraId="349E162E">
      <w:pPr>
        <w:spacing w:line="400" w:lineRule="exact"/>
        <w:ind w:firstLine="570"/>
        <w:rPr>
          <w:sz w:val="28"/>
        </w:rPr>
      </w:pPr>
      <w:r>
        <w:rPr>
          <w:rFonts w:hint="eastAsia"/>
          <w:sz w:val="28"/>
        </w:rPr>
        <w:t>在很多情况下，被许可方获得许可方的专利及技术资料后，并不能立即独立实施该等技术，仍然需要依靠许可方提供一定的人员培训和技术指导。因此，在专利许可合同中，被许可方通常会对许可方提供技术协助的义务做出约定（通常而言，在许可专利为发明或实用新型时，需要技术服务或培训的可能性相对较高，在许可外观设计专利时，相关需求相对较低）。为了避免可能的纠纷，双方可以就相关技术服务与培训的提供方式、验收标准、费用等进行约定。其中，对于技术服务与培训的费用，若双方在许可费中已经将其涵盖其中，则无需另设该种付款安排。</w:t>
      </w:r>
    </w:p>
    <w:p w14:paraId="362DF375">
      <w:pPr>
        <w:spacing w:line="400" w:lineRule="exact"/>
        <w:ind w:firstLine="570"/>
        <w:rPr>
          <w:sz w:val="28"/>
        </w:rPr>
      </w:pPr>
    </w:p>
    <w:p w14:paraId="783608AD">
      <w:pPr>
        <w:spacing w:line="400" w:lineRule="exact"/>
        <w:ind w:firstLine="570"/>
        <w:rPr>
          <w:sz w:val="28"/>
        </w:rPr>
      </w:pPr>
      <w:r>
        <w:rPr>
          <w:rFonts w:hint="eastAsia"/>
          <w:sz w:val="28"/>
        </w:rPr>
        <w:t>被许可方可能会要求许可方承担对技术协助结果的责任，例如约定许可方应当对被许可方成功制造出许可产品或达到特定生产效率和质量做出承诺或保证。此种情况下，许可方应当尤其注意条款的措辞表述，在已充分合理履行自身义务的前提下，尽量避免承担过多的责任。</w:t>
      </w:r>
    </w:p>
    <w:p w14:paraId="6353B58C">
      <w:pPr>
        <w:spacing w:line="400" w:lineRule="exact"/>
        <w:ind w:firstLine="570"/>
        <w:rPr>
          <w:sz w:val="28"/>
        </w:rPr>
      </w:pPr>
    </w:p>
    <w:p w14:paraId="6C487910">
      <w:pPr>
        <w:numPr>
          <w:ilvl w:val="0"/>
          <w:numId w:val="13"/>
        </w:numPr>
        <w:spacing w:line="400" w:lineRule="exact"/>
        <w:outlineLvl w:val="0"/>
        <w:rPr>
          <w:rFonts w:eastAsia="黑体"/>
          <w:sz w:val="28"/>
        </w:rPr>
      </w:pPr>
      <w:r>
        <w:rPr>
          <w:rFonts w:eastAsia="黑体"/>
          <w:sz w:val="28"/>
        </w:rPr>
        <w:t>保密条款</w:t>
      </w:r>
    </w:p>
    <w:p w14:paraId="04EF24EA">
      <w:pPr>
        <w:spacing w:line="400" w:lineRule="exact"/>
        <w:ind w:firstLine="570"/>
        <w:rPr>
          <w:rFonts w:ascii="宋体"/>
          <w:sz w:val="28"/>
        </w:rPr>
      </w:pPr>
      <w:r>
        <w:rPr>
          <w:rFonts w:hint="eastAsia" w:ascii="宋体"/>
          <w:sz w:val="28"/>
        </w:rPr>
        <w:t>在专利许可中，一方面，许可谈判历时长、参与人员众多(例如双方的</w:t>
      </w:r>
      <w:r>
        <w:rPr>
          <w:rFonts w:ascii="宋体"/>
          <w:sz w:val="28"/>
        </w:rPr>
        <w:t>关联方、雇员、董事、代理、承包商、咨询人和顾问</w:t>
      </w:r>
      <w:r>
        <w:rPr>
          <w:rFonts w:hint="eastAsia" w:ascii="宋体"/>
          <w:sz w:val="28"/>
        </w:rPr>
        <w:t>等</w:t>
      </w:r>
      <w:r>
        <w:rPr>
          <w:rFonts w:ascii="宋体"/>
          <w:sz w:val="28"/>
        </w:rPr>
        <w:t>)</w:t>
      </w:r>
      <w:r>
        <w:rPr>
          <w:rFonts w:hint="eastAsia" w:ascii="宋体"/>
          <w:sz w:val="28"/>
        </w:rPr>
        <w:t>、交流信息广泛，均使得在专利许可谈判过程中披露的双方当事人的商业信息容易被泄露；另一方面，在专利许可实施的过程中，双方也会披露各类信息，如未公布的专利申请、技术资料和其它财务、商业、业务、运营或技术性质的信息和数据等。这些信息一经泄露，可能会对信息持有人产生致命影响。因此，在许可合同中，双方应当就在许可谈判过程中和实施过程中所披露的何种信息为保密信息进行定义，并明确双方的保密义务。</w:t>
      </w:r>
    </w:p>
    <w:p w14:paraId="04E55DEE">
      <w:pPr>
        <w:spacing w:line="400" w:lineRule="exact"/>
        <w:rPr>
          <w:rFonts w:ascii="宋体"/>
          <w:sz w:val="28"/>
        </w:rPr>
      </w:pPr>
    </w:p>
    <w:p w14:paraId="0DCCD81C">
      <w:pPr>
        <w:numPr>
          <w:ilvl w:val="0"/>
          <w:numId w:val="13"/>
        </w:numPr>
        <w:spacing w:line="400" w:lineRule="exact"/>
        <w:outlineLvl w:val="0"/>
        <w:rPr>
          <w:rFonts w:ascii="黑体" w:eastAsia="黑体"/>
          <w:sz w:val="28"/>
        </w:rPr>
      </w:pPr>
      <w:r>
        <w:rPr>
          <w:rFonts w:hint="eastAsia" w:ascii="黑体" w:eastAsia="黑体"/>
          <w:sz w:val="28"/>
        </w:rPr>
        <w:t>后续改进成果的提供与分享</w:t>
      </w:r>
    </w:p>
    <w:p w14:paraId="5D9D52DA">
      <w:pPr>
        <w:spacing w:line="400" w:lineRule="exact"/>
        <w:ind w:firstLine="570"/>
        <w:rPr>
          <w:rFonts w:ascii="宋体"/>
          <w:sz w:val="28"/>
        </w:rPr>
      </w:pPr>
      <w:r>
        <w:rPr>
          <w:rFonts w:ascii="宋体"/>
          <w:sz w:val="28"/>
        </w:rPr>
        <w:t>许可合同签订后，</w:t>
      </w:r>
      <w:r>
        <w:rPr>
          <w:rFonts w:hint="eastAsia" w:ascii="宋体"/>
          <w:sz w:val="28"/>
        </w:rPr>
        <w:t>双</w:t>
      </w:r>
      <w:r>
        <w:rPr>
          <w:rFonts w:ascii="宋体"/>
          <w:sz w:val="28"/>
        </w:rPr>
        <w:t>方都有可能对许可的专利作出改进，从而形成新的改进技术。对于何为改进，技术改进一方可能倾向于用比较宽泛的标准来定义改进，而另一方则可能相反</w:t>
      </w:r>
      <w:r>
        <w:rPr>
          <w:rFonts w:hint="eastAsia" w:ascii="宋体"/>
          <w:sz w:val="28"/>
        </w:rPr>
        <w:t>。</w:t>
      </w:r>
      <w:r>
        <w:rPr>
          <w:rFonts w:ascii="宋体"/>
          <w:sz w:val="28"/>
        </w:rPr>
        <w:t>因此，在许可合同中</w:t>
      </w:r>
      <w:r>
        <w:rPr>
          <w:rFonts w:hint="eastAsia" w:ascii="宋体"/>
          <w:sz w:val="28"/>
        </w:rPr>
        <w:t>，</w:t>
      </w:r>
      <w:r>
        <w:rPr>
          <w:rFonts w:ascii="宋体"/>
          <w:sz w:val="28"/>
        </w:rPr>
        <w:t>需首先明确的是双方是否有权对许可专利进行改进</w:t>
      </w:r>
      <w:r>
        <w:rPr>
          <w:rFonts w:hint="eastAsia" w:ascii="宋体"/>
          <w:sz w:val="28"/>
        </w:rPr>
        <w:t>。</w:t>
      </w:r>
      <w:r>
        <w:rPr>
          <w:rFonts w:ascii="宋体"/>
          <w:sz w:val="28"/>
        </w:rPr>
        <w:t>在允许改进的前提下，就后续的改进技术进行明确定义。同时，在签订许可合同时，还需要对基于许可专利形成的改进的权利归属进行约定。如果该改进技术是由许可方做出的，那么针对该改进技术，被许可方是否可依许可合同自动获得许可并无需支付额外的许可费。如果该改进技术是由被许可方</w:t>
      </w:r>
      <w:r>
        <w:rPr>
          <w:rFonts w:hint="eastAsia" w:ascii="宋体"/>
          <w:sz w:val="28"/>
        </w:rPr>
        <w:t>作出</w:t>
      </w:r>
      <w:r>
        <w:rPr>
          <w:rFonts w:ascii="宋体"/>
          <w:sz w:val="28"/>
        </w:rPr>
        <w:t>的，那么许可方是否有必要通过许可合同提前获得该后续改进技术的所有权或者使用权，从而可以将该改进技术补充到其专利包中，进而增加其专利包的价值。</w:t>
      </w:r>
      <w:r>
        <w:rPr>
          <w:rFonts w:hint="eastAsia" w:ascii="宋体"/>
          <w:sz w:val="28"/>
        </w:rPr>
        <w:t>若双方对后续改进成果的交叉许可相关事项有进一步合作意愿，可考虑进一步就许可目的、范围、费用等事项进行协商，并另行签署许可协议。</w:t>
      </w:r>
    </w:p>
    <w:p w14:paraId="7BFD2D21">
      <w:pPr>
        <w:spacing w:line="400" w:lineRule="exact"/>
        <w:rPr>
          <w:rFonts w:ascii="宋体"/>
          <w:sz w:val="28"/>
        </w:rPr>
      </w:pPr>
    </w:p>
    <w:p w14:paraId="6DF3D485">
      <w:pPr>
        <w:numPr>
          <w:ilvl w:val="0"/>
          <w:numId w:val="13"/>
        </w:numPr>
        <w:spacing w:line="400" w:lineRule="exact"/>
        <w:outlineLvl w:val="0"/>
        <w:rPr>
          <w:rFonts w:ascii="黑体" w:eastAsia="黑体"/>
          <w:sz w:val="28"/>
        </w:rPr>
      </w:pPr>
      <w:r>
        <w:rPr>
          <w:rFonts w:hint="eastAsia" w:ascii="黑体" w:eastAsia="黑体"/>
          <w:sz w:val="28"/>
        </w:rPr>
        <w:t>陈述与保证</w:t>
      </w:r>
    </w:p>
    <w:p w14:paraId="57C54BF1">
      <w:pPr>
        <w:spacing w:line="400" w:lineRule="exact"/>
        <w:ind w:firstLine="570"/>
        <w:rPr>
          <w:rFonts w:ascii="宋体"/>
          <w:sz w:val="28"/>
        </w:rPr>
      </w:pPr>
      <w:r>
        <w:rPr>
          <w:rFonts w:hint="eastAsia" w:ascii="宋体"/>
          <w:sz w:val="28"/>
        </w:rPr>
        <w:t>在许可合同中设置完备的陈述与保证条款，有利于双方明确风险界定和责任分担。在陈述与保证条款中，被许可方可能会要求许可方保证被许可方实施许可专利将不会侵犯任何第三方的权利，否则许可方应赔偿被许可方由此而产生的损失，此类陈述保证对许可方的要求较高，当事双方予以慎重考虑。一般来说，如果专利许可合同中要求许可方作出“不侵权保证”，许可费往往也会相应较高。在许可方无法保证被许可方实施许可专利不会侵犯第三方权利的情况下，双方可以根据具体情况的不同，约定因实施许可专利而侵犯第三方权利时的具体责任承担和费用。</w:t>
      </w:r>
    </w:p>
    <w:p w14:paraId="212E6636">
      <w:pPr>
        <w:spacing w:line="400" w:lineRule="exact"/>
        <w:ind w:firstLine="570"/>
        <w:rPr>
          <w:rFonts w:ascii="宋体"/>
          <w:sz w:val="28"/>
        </w:rPr>
      </w:pPr>
    </w:p>
    <w:p w14:paraId="280D1005">
      <w:pPr>
        <w:spacing w:line="400" w:lineRule="exact"/>
        <w:ind w:firstLine="570"/>
        <w:rPr>
          <w:rFonts w:ascii="宋体"/>
          <w:sz w:val="28"/>
        </w:rPr>
      </w:pPr>
    </w:p>
    <w:p w14:paraId="57431F72">
      <w:pPr>
        <w:numPr>
          <w:ilvl w:val="0"/>
          <w:numId w:val="13"/>
        </w:numPr>
        <w:spacing w:line="400" w:lineRule="exact"/>
        <w:outlineLvl w:val="0"/>
        <w:rPr>
          <w:rFonts w:eastAsia="黑体"/>
          <w:sz w:val="28"/>
        </w:rPr>
      </w:pPr>
      <w:bookmarkStart w:id="4" w:name="_Hlk100867527"/>
      <w:r>
        <w:rPr>
          <w:rFonts w:hint="eastAsia" w:eastAsia="黑体"/>
          <w:sz w:val="28"/>
        </w:rPr>
        <w:t>技术进出口管制 （选填）</w:t>
      </w:r>
    </w:p>
    <w:p w14:paraId="05DE594B">
      <w:pPr>
        <w:spacing w:line="400" w:lineRule="exact"/>
        <w:ind w:firstLine="570"/>
        <w:rPr>
          <w:bCs/>
          <w:sz w:val="28"/>
        </w:rPr>
      </w:pPr>
      <w:r>
        <w:rPr>
          <w:rFonts w:hint="eastAsia"/>
          <w:bCs/>
          <w:sz w:val="28"/>
        </w:rPr>
        <w:t>《</w:t>
      </w:r>
      <w:r>
        <w:rPr>
          <w:rFonts w:hint="eastAsia" w:ascii="宋体"/>
          <w:sz w:val="28"/>
        </w:rPr>
        <w:t>中华人民共和国</w:t>
      </w:r>
      <w:r>
        <w:rPr>
          <w:rFonts w:hint="eastAsia"/>
          <w:bCs/>
          <w:sz w:val="28"/>
        </w:rPr>
        <w:t>技术进出口管理条例》第二条将专利实施许可纳入到规制范围，分为禁止进出口、限制进出口和自由进出口三类，应当注意区分不同类别的管理要求，防止因忽略行政规定而出现合同无法履行等违约情形。</w:t>
      </w:r>
    </w:p>
    <w:p w14:paraId="44E3FF4F">
      <w:pPr>
        <w:spacing w:line="400" w:lineRule="exact"/>
        <w:ind w:firstLine="570"/>
        <w:rPr>
          <w:bCs/>
          <w:sz w:val="28"/>
        </w:rPr>
      </w:pPr>
    </w:p>
    <w:p w14:paraId="6E353362">
      <w:pPr>
        <w:spacing w:line="400" w:lineRule="exact"/>
        <w:ind w:firstLine="570"/>
        <w:rPr>
          <w:sz w:val="28"/>
        </w:rPr>
      </w:pPr>
      <w:bookmarkStart w:id="5" w:name="_Hlk100934421"/>
      <w:r>
        <w:rPr>
          <w:rFonts w:hint="eastAsia"/>
          <w:bCs/>
          <w:sz w:val="28"/>
        </w:rPr>
        <w:t>在专利许可涉及技术在中国与其他国家/地区之间进行交流的情形中，除中国法律法规所设置的技术进出口管制规则外，还有可能涉及境外法律法规的技术进出口管制要求。双方应当结合许可项目的商业目的，对相应的权利义务（主要为确认、警示相对方技术进出口合规风险以及办理技术进出口行政手续义务）予以安排。</w:t>
      </w:r>
      <w:bookmarkEnd w:id="5"/>
    </w:p>
    <w:bookmarkEnd w:id="4"/>
    <w:p w14:paraId="6F937A91">
      <w:pPr>
        <w:spacing w:line="400" w:lineRule="exact"/>
        <w:ind w:firstLine="570"/>
        <w:rPr>
          <w:rFonts w:ascii="宋体"/>
          <w:sz w:val="28"/>
        </w:rPr>
      </w:pPr>
    </w:p>
    <w:p w14:paraId="26C144FB">
      <w:pPr>
        <w:numPr>
          <w:ilvl w:val="0"/>
          <w:numId w:val="13"/>
        </w:numPr>
        <w:spacing w:line="400" w:lineRule="exact"/>
        <w:outlineLvl w:val="0"/>
        <w:rPr>
          <w:rFonts w:ascii="黑体" w:eastAsia="黑体"/>
          <w:sz w:val="28"/>
        </w:rPr>
      </w:pPr>
      <w:r>
        <w:rPr>
          <w:rFonts w:hint="eastAsia" w:ascii="黑体" w:eastAsia="黑体"/>
          <w:sz w:val="28"/>
        </w:rPr>
        <w:t>知识产权侵权应对及</w:t>
      </w:r>
      <w:r>
        <w:rPr>
          <w:rFonts w:ascii="黑体" w:eastAsia="黑体"/>
          <w:sz w:val="28"/>
        </w:rPr>
        <w:t>共同维权</w:t>
      </w:r>
    </w:p>
    <w:p w14:paraId="1B2003FD">
      <w:pPr>
        <w:spacing w:line="400" w:lineRule="exact"/>
        <w:ind w:firstLine="570"/>
        <w:rPr>
          <w:rFonts w:ascii="宋体"/>
          <w:sz w:val="28"/>
        </w:rPr>
      </w:pPr>
      <w:r>
        <w:rPr>
          <w:rFonts w:hint="eastAsia" w:ascii="宋体"/>
          <w:sz w:val="28"/>
        </w:rPr>
        <w:t>对于第三方针对许可专利可能提出的侵权诉讼，许可合同应就第三方专利诉讼的应对主体、诉讼费用承担、败诉时侵权损害赔偿责任的承担等事项，做出明确规定。实践中，也存在双方事先约定由一方作为主要应诉方，另一方仅负责提供必要协助的情形。此时，双方可以根据具体情况协商，例如，独占许可中，被许可方较有可能作为主要应诉方，特别是在许可方在当地缺少维权条件的情况下。在部分项目中，许可方可能同意在第八条陈述与保证条款中，承诺对许可专利承担瑕疵担保责任，但前提是应当由许可方负责具体应诉事宜的决策，对此，双方也可将相关安排在第十条中予以明确。</w:t>
      </w:r>
    </w:p>
    <w:p w14:paraId="6F940ADE">
      <w:pPr>
        <w:spacing w:line="400" w:lineRule="exact"/>
        <w:ind w:firstLine="570"/>
        <w:rPr>
          <w:rFonts w:ascii="宋体"/>
          <w:sz w:val="28"/>
        </w:rPr>
      </w:pPr>
    </w:p>
    <w:p w14:paraId="5E13AC6B">
      <w:pPr>
        <w:spacing w:line="400" w:lineRule="exact"/>
        <w:ind w:firstLine="570"/>
        <w:rPr>
          <w:rFonts w:ascii="宋体"/>
          <w:sz w:val="28"/>
        </w:rPr>
      </w:pPr>
      <w:r>
        <w:rPr>
          <w:rFonts w:hint="eastAsia" w:ascii="宋体"/>
          <w:sz w:val="28"/>
        </w:rPr>
        <w:t>若存在</w:t>
      </w:r>
      <w:r>
        <w:rPr>
          <w:rFonts w:ascii="宋体"/>
          <w:sz w:val="28"/>
        </w:rPr>
        <w:t>未经许可方授权的第三方擅自</w:t>
      </w:r>
      <w:r>
        <w:rPr>
          <w:rFonts w:hint="eastAsia" w:ascii="宋体"/>
          <w:sz w:val="28"/>
        </w:rPr>
        <w:t>实施许可方</w:t>
      </w:r>
      <w:r>
        <w:rPr>
          <w:rFonts w:ascii="宋体"/>
          <w:sz w:val="28"/>
        </w:rPr>
        <w:t>专利，由于这种情形对</w:t>
      </w:r>
      <w:r>
        <w:rPr>
          <w:rFonts w:hint="eastAsia" w:ascii="宋体"/>
          <w:sz w:val="28"/>
        </w:rPr>
        <w:t>许可方</w:t>
      </w:r>
      <w:r>
        <w:rPr>
          <w:rFonts w:ascii="宋体"/>
          <w:sz w:val="28"/>
        </w:rPr>
        <w:t>和</w:t>
      </w:r>
      <w:r>
        <w:rPr>
          <w:rFonts w:hint="eastAsia" w:ascii="宋体"/>
          <w:sz w:val="28"/>
        </w:rPr>
        <w:t>被许可方</w:t>
      </w:r>
      <w:r>
        <w:rPr>
          <w:rFonts w:ascii="宋体"/>
          <w:sz w:val="28"/>
        </w:rPr>
        <w:t>的利益都产生了不利影响</w:t>
      </w:r>
      <w:r>
        <w:rPr>
          <w:rFonts w:hint="eastAsia" w:ascii="宋体"/>
          <w:sz w:val="28"/>
        </w:rPr>
        <w:t>。</w:t>
      </w:r>
      <w:r>
        <w:rPr>
          <w:rFonts w:ascii="宋体"/>
          <w:sz w:val="28"/>
        </w:rPr>
        <w:t>因此，需要在许可合同</w:t>
      </w:r>
      <w:r>
        <w:rPr>
          <w:rFonts w:hint="eastAsia" w:ascii="宋体"/>
          <w:sz w:val="28"/>
        </w:rPr>
        <w:t>中</w:t>
      </w:r>
      <w:r>
        <w:rPr>
          <w:rFonts w:ascii="宋体"/>
          <w:sz w:val="28"/>
        </w:rPr>
        <w:t>明确约定</w:t>
      </w:r>
      <w:r>
        <w:rPr>
          <w:rFonts w:hint="eastAsia" w:ascii="宋体"/>
          <w:sz w:val="28"/>
        </w:rPr>
        <w:t>针对</w:t>
      </w:r>
      <w:r>
        <w:rPr>
          <w:rFonts w:ascii="宋体"/>
          <w:sz w:val="28"/>
        </w:rPr>
        <w:t>第三</w:t>
      </w:r>
      <w:r>
        <w:rPr>
          <w:rFonts w:hint="eastAsia" w:ascii="宋体"/>
          <w:sz w:val="28"/>
        </w:rPr>
        <w:t>方</w:t>
      </w:r>
      <w:r>
        <w:rPr>
          <w:rFonts w:ascii="宋体"/>
          <w:sz w:val="28"/>
        </w:rPr>
        <w:t>的专利诉讼中双方的权利义务。</w:t>
      </w:r>
      <w:r>
        <w:rPr>
          <w:rFonts w:hint="eastAsia" w:ascii="宋体"/>
          <w:sz w:val="28"/>
        </w:rPr>
        <w:t>从方便维权的角度来看，约定</w:t>
      </w:r>
      <w:r>
        <w:rPr>
          <w:rFonts w:ascii="宋体"/>
          <w:sz w:val="28"/>
        </w:rPr>
        <w:t>许可方或被许可方</w:t>
      </w:r>
      <w:r>
        <w:rPr>
          <w:rFonts w:hint="eastAsia" w:ascii="宋体"/>
          <w:sz w:val="28"/>
        </w:rPr>
        <w:t>中的任一方在</w:t>
      </w:r>
      <w:r>
        <w:rPr>
          <w:rFonts w:ascii="宋体"/>
          <w:sz w:val="28"/>
        </w:rPr>
        <w:t>获知许可专利正在遭受第三方的侵犯</w:t>
      </w:r>
      <w:r>
        <w:rPr>
          <w:rFonts w:hint="eastAsia" w:ascii="宋体"/>
          <w:sz w:val="28"/>
        </w:rPr>
        <w:t>时</w:t>
      </w:r>
      <w:r>
        <w:rPr>
          <w:rFonts w:ascii="宋体"/>
          <w:sz w:val="28"/>
        </w:rPr>
        <w:t>，</w:t>
      </w:r>
      <w:r>
        <w:rPr>
          <w:rFonts w:hint="eastAsia" w:ascii="宋体"/>
          <w:sz w:val="28"/>
        </w:rPr>
        <w:t>均有义务</w:t>
      </w:r>
      <w:r>
        <w:rPr>
          <w:rFonts w:ascii="宋体"/>
          <w:sz w:val="28"/>
        </w:rPr>
        <w:t>在一定期限内书面告知另一方</w:t>
      </w:r>
      <w:r>
        <w:rPr>
          <w:rFonts w:hint="eastAsia" w:ascii="宋体"/>
          <w:sz w:val="28"/>
        </w:rPr>
        <w:t>是一种较为常见的做法</w:t>
      </w:r>
      <w:r>
        <w:rPr>
          <w:rFonts w:ascii="宋体"/>
          <w:sz w:val="28"/>
        </w:rPr>
        <w:t>。关于在此种情况下</w:t>
      </w:r>
      <w:r>
        <w:rPr>
          <w:rFonts w:hint="eastAsia" w:ascii="宋体"/>
          <w:sz w:val="28"/>
        </w:rPr>
        <w:t>，</w:t>
      </w:r>
      <w:r>
        <w:rPr>
          <w:rFonts w:ascii="宋体"/>
          <w:sz w:val="28"/>
        </w:rPr>
        <w:t>被许可方</w:t>
      </w:r>
      <w:r>
        <w:rPr>
          <w:rFonts w:hint="eastAsia" w:ascii="宋体"/>
          <w:sz w:val="28"/>
        </w:rPr>
        <w:t>是否</w:t>
      </w:r>
      <w:r>
        <w:rPr>
          <w:rFonts w:ascii="宋体"/>
          <w:sz w:val="28"/>
        </w:rPr>
        <w:t>拥有针对该第三</w:t>
      </w:r>
      <w:r>
        <w:rPr>
          <w:rFonts w:hint="eastAsia" w:ascii="宋体"/>
          <w:sz w:val="28"/>
        </w:rPr>
        <w:t>方</w:t>
      </w:r>
      <w:r>
        <w:rPr>
          <w:rFonts w:ascii="宋体"/>
          <w:sz w:val="28"/>
        </w:rPr>
        <w:t>的起诉权</w:t>
      </w:r>
      <w:r>
        <w:rPr>
          <w:rFonts w:hint="eastAsia" w:ascii="宋体"/>
          <w:sz w:val="28"/>
        </w:rPr>
        <w:t>的问题</w:t>
      </w:r>
      <w:r>
        <w:rPr>
          <w:rFonts w:ascii="宋体"/>
          <w:sz w:val="28"/>
        </w:rPr>
        <w:t>，</w:t>
      </w:r>
      <w:r>
        <w:rPr>
          <w:rFonts w:hint="eastAsia" w:ascii="宋体"/>
          <w:sz w:val="28"/>
        </w:rPr>
        <w:t>当事人可以根据实际情况作出约定。在双方未就该事项作出约定的情况下，通常认为独占实施许可合同中的被许可人、在专利权人不起诉的情况下排他实施许可合同中的被许可人，可作为</w:t>
      </w:r>
      <w:r>
        <w:rPr>
          <w:rFonts w:hint="eastAsia" w:ascii="宋体"/>
          <w:sz w:val="28"/>
          <w:lang w:eastAsia="zh-CN"/>
        </w:rPr>
        <w:t>《中华人民共和国专利法》</w:t>
      </w:r>
      <w:r>
        <w:rPr>
          <w:rFonts w:hint="eastAsia" w:ascii="宋体"/>
          <w:sz w:val="28"/>
        </w:rPr>
        <w:t>相关条款中的“利害关系人”，有权单独提起侵权诉讼。此外</w:t>
      </w:r>
      <w:r>
        <w:rPr>
          <w:rFonts w:ascii="宋体"/>
          <w:sz w:val="28"/>
        </w:rPr>
        <w:t>，</w:t>
      </w:r>
      <w:r>
        <w:rPr>
          <w:rFonts w:hint="eastAsia" w:ascii="宋体"/>
          <w:sz w:val="28"/>
        </w:rPr>
        <w:t>双方</w:t>
      </w:r>
      <w:r>
        <w:rPr>
          <w:rFonts w:ascii="宋体"/>
          <w:sz w:val="28"/>
        </w:rPr>
        <w:t>还应就诉讼费用承担、从第三方获得的侵权损害赔偿金的利益分配做出明确约定。</w:t>
      </w:r>
    </w:p>
    <w:p w14:paraId="38C7091D">
      <w:pPr>
        <w:spacing w:line="400" w:lineRule="exact"/>
        <w:rPr>
          <w:rFonts w:ascii="宋体"/>
          <w:sz w:val="28"/>
        </w:rPr>
      </w:pPr>
    </w:p>
    <w:p w14:paraId="2AA36C01">
      <w:pPr>
        <w:numPr>
          <w:ilvl w:val="0"/>
          <w:numId w:val="13"/>
        </w:numPr>
        <w:spacing w:line="400" w:lineRule="exact"/>
        <w:outlineLvl w:val="0"/>
        <w:rPr>
          <w:rFonts w:ascii="黑体" w:eastAsia="黑体"/>
          <w:sz w:val="28"/>
        </w:rPr>
      </w:pPr>
      <w:r>
        <w:rPr>
          <w:rFonts w:ascii="黑体" w:eastAsia="黑体"/>
          <w:sz w:val="28"/>
        </w:rPr>
        <w:t>专利权被宣告无效</w:t>
      </w:r>
      <w:r>
        <w:rPr>
          <w:rFonts w:hint="eastAsia" w:ascii="黑体" w:eastAsia="黑体"/>
          <w:sz w:val="28"/>
        </w:rPr>
        <w:t>（或专利申请被驳回）</w:t>
      </w:r>
      <w:r>
        <w:rPr>
          <w:rFonts w:ascii="黑体" w:eastAsia="黑体"/>
          <w:sz w:val="28"/>
        </w:rPr>
        <w:t>的处理</w:t>
      </w:r>
    </w:p>
    <w:p w14:paraId="79BE5115">
      <w:pPr>
        <w:spacing w:line="400" w:lineRule="exact"/>
        <w:ind w:firstLine="570"/>
        <w:rPr>
          <w:rFonts w:ascii="宋体"/>
          <w:sz w:val="28"/>
        </w:rPr>
      </w:pPr>
      <w:r>
        <w:rPr>
          <w:rFonts w:hint="eastAsia" w:ascii="宋体"/>
          <w:sz w:val="28"/>
        </w:rPr>
        <w:t>《中华人民共和国专利法》第四十七条规定，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根据该规定，当专利权被宣告无效时，尚未履行或正在履行的专利实施许可合同应当立即停止履行，被许可方可以停止支付有关费用。</w:t>
      </w:r>
    </w:p>
    <w:p w14:paraId="157E5488">
      <w:pPr>
        <w:spacing w:line="400" w:lineRule="exact"/>
        <w:ind w:firstLine="570"/>
        <w:rPr>
          <w:rFonts w:ascii="宋体"/>
          <w:sz w:val="28"/>
        </w:rPr>
      </w:pPr>
    </w:p>
    <w:p w14:paraId="79AC3C4F">
      <w:pPr>
        <w:spacing w:line="400" w:lineRule="exact"/>
        <w:ind w:firstLine="570"/>
        <w:rPr>
          <w:rFonts w:ascii="宋体"/>
          <w:sz w:val="28"/>
        </w:rPr>
      </w:pPr>
      <w:r>
        <w:rPr>
          <w:rFonts w:hint="eastAsia" w:ascii="宋体"/>
          <w:sz w:val="28"/>
        </w:rPr>
        <w:t>双方可以在许可合同中对专利权被宣告无效的处理进行约定，如无明显违反公平原则，且许可方无恶意给被许可方造成损失，则许可方无需向被许可方返还许可费。双方可以约定返还全部许可费，也可以确定部分返还，还可以约定合同履行超过一定时期或被许可方已经获得经济利益后、专利权才被宣告无效的，不予返还或少量返还。另外，也可能会出现无效决定宣告专利权的部分权利要求无效，部分权利要求有效的情形。在条款中建议对上述可能出现的情形约定清楚。</w:t>
      </w:r>
    </w:p>
    <w:p w14:paraId="5DCC6141">
      <w:pPr>
        <w:spacing w:line="400" w:lineRule="exact"/>
        <w:ind w:firstLine="570"/>
        <w:rPr>
          <w:rFonts w:ascii="宋体"/>
          <w:sz w:val="28"/>
        </w:rPr>
      </w:pPr>
    </w:p>
    <w:p w14:paraId="2DD2F39E">
      <w:pPr>
        <w:widowControl/>
        <w:spacing w:line="400" w:lineRule="exact"/>
        <w:ind w:firstLine="570"/>
        <w:rPr>
          <w:rFonts w:ascii="宋体" w:hAnsi="宋体"/>
          <w:sz w:val="28"/>
          <w:szCs w:val="28"/>
        </w:rPr>
      </w:pPr>
      <w:r>
        <w:rPr>
          <w:rFonts w:hint="eastAsia" w:ascii="宋体"/>
          <w:sz w:val="28"/>
        </w:rPr>
        <w:t>对于</w:t>
      </w:r>
      <w:r>
        <w:rPr>
          <w:rFonts w:ascii="宋体"/>
          <w:sz w:val="28"/>
          <w:shd w:val="clear" w:color="auto" w:fill="FFFFFF"/>
        </w:rPr>
        <w:t>专利申请</w:t>
      </w:r>
      <w:r>
        <w:rPr>
          <w:rFonts w:hint="eastAsia" w:ascii="宋体"/>
          <w:sz w:val="28"/>
          <w:shd w:val="clear" w:color="auto" w:fill="FFFFFF"/>
        </w:rPr>
        <w:t>的实施许可合同</w:t>
      </w:r>
      <w:r>
        <w:rPr>
          <w:rFonts w:ascii="宋体"/>
          <w:sz w:val="28"/>
          <w:shd w:val="clear" w:color="auto" w:fill="FFFFFF"/>
        </w:rPr>
        <w:t>，专利申请存</w:t>
      </w:r>
      <w:r>
        <w:rPr>
          <w:rFonts w:hint="eastAsia" w:ascii="宋体"/>
          <w:sz w:val="28"/>
        </w:rPr>
        <w:t>在未被授权的可</w:t>
      </w:r>
      <w:r>
        <w:rPr>
          <w:rFonts w:ascii="宋体"/>
          <w:sz w:val="28"/>
          <w:shd w:val="clear" w:color="auto" w:fill="FFFFFF"/>
        </w:rPr>
        <w:t>能</w:t>
      </w:r>
      <w:r>
        <w:rPr>
          <w:rFonts w:hint="eastAsia" w:ascii="宋体"/>
          <w:sz w:val="28"/>
        </w:rPr>
        <w:t>，特别是</w:t>
      </w:r>
      <w:r>
        <w:rPr>
          <w:rFonts w:ascii="宋体"/>
          <w:sz w:val="28"/>
        </w:rPr>
        <w:t>发明专利</w:t>
      </w:r>
      <w:r>
        <w:rPr>
          <w:rFonts w:hint="eastAsia" w:ascii="宋体"/>
          <w:sz w:val="28"/>
        </w:rPr>
        <w:t>申请</w:t>
      </w:r>
      <w:r>
        <w:rPr>
          <w:rFonts w:ascii="宋体"/>
          <w:sz w:val="28"/>
          <w:shd w:val="clear" w:color="auto" w:fill="FFFFFF"/>
        </w:rPr>
        <w:t>，能</w:t>
      </w:r>
      <w:r>
        <w:rPr>
          <w:rFonts w:ascii="宋体"/>
          <w:sz w:val="28"/>
        </w:rPr>
        <w:t>否</w:t>
      </w:r>
      <w:r>
        <w:rPr>
          <w:rFonts w:ascii="宋体"/>
          <w:sz w:val="28"/>
          <w:shd w:val="clear" w:color="auto" w:fill="FFFFFF"/>
        </w:rPr>
        <w:t>被授予</w:t>
      </w:r>
      <w:r>
        <w:rPr>
          <w:rFonts w:hint="eastAsia" w:ascii="宋体"/>
          <w:sz w:val="28"/>
        </w:rPr>
        <w:t>专利权</w:t>
      </w:r>
      <w:r>
        <w:rPr>
          <w:rFonts w:ascii="宋体"/>
          <w:sz w:val="28"/>
          <w:shd w:val="clear" w:color="auto" w:fill="FFFFFF"/>
        </w:rPr>
        <w:t>处于不确定状态</w:t>
      </w:r>
      <w:r>
        <w:rPr>
          <w:rFonts w:hint="eastAsia" w:ascii="宋体"/>
          <w:sz w:val="28"/>
        </w:rPr>
        <w:t>。</w:t>
      </w:r>
      <w:r>
        <w:rPr>
          <w:rFonts w:ascii="宋体"/>
          <w:sz w:val="28"/>
          <w:shd w:val="clear" w:color="auto" w:fill="FFFFFF"/>
        </w:rPr>
        <w:t>对于专利申请被</w:t>
      </w:r>
      <w:r>
        <w:rPr>
          <w:rFonts w:hint="eastAsia" w:ascii="宋体" w:hAnsi="宋体"/>
          <w:bCs/>
          <w:sz w:val="28"/>
          <w:szCs w:val="28"/>
        </w:rPr>
        <w:t>视为撤回或被</w:t>
      </w:r>
      <w:r>
        <w:rPr>
          <w:rFonts w:ascii="宋体"/>
          <w:sz w:val="28"/>
          <w:shd w:val="clear" w:color="auto" w:fill="FFFFFF"/>
        </w:rPr>
        <w:t>驳回，</w:t>
      </w:r>
      <w:r>
        <w:rPr>
          <w:rFonts w:hint="eastAsia" w:ascii="宋体"/>
          <w:sz w:val="28"/>
        </w:rPr>
        <w:t>双方</w:t>
      </w:r>
      <w:r>
        <w:rPr>
          <w:rFonts w:ascii="宋体"/>
          <w:sz w:val="28"/>
          <w:shd w:val="clear" w:color="auto" w:fill="FFFFFF"/>
        </w:rPr>
        <w:t>可约定作为合同解除</w:t>
      </w:r>
      <w:r>
        <w:rPr>
          <w:rFonts w:hint="eastAsia" w:ascii="宋体"/>
          <w:sz w:val="28"/>
        </w:rPr>
        <w:t>的</w:t>
      </w:r>
      <w:r>
        <w:rPr>
          <w:rFonts w:ascii="宋体"/>
          <w:sz w:val="28"/>
          <w:shd w:val="clear" w:color="auto" w:fill="FFFFFF"/>
        </w:rPr>
        <w:t>条件</w:t>
      </w:r>
      <w:r>
        <w:rPr>
          <w:rFonts w:hint="eastAsia" w:ascii="宋体"/>
          <w:sz w:val="28"/>
        </w:rPr>
        <w:t>。由于视为撤回或被驳回可以进行救济、还存在授权的可能性，也可以暂时不急于解除合同，而是约定如何对</w:t>
      </w:r>
      <w:r>
        <w:rPr>
          <w:rFonts w:hint="eastAsia" w:ascii="宋体" w:hAnsi="宋体"/>
          <w:bCs/>
          <w:sz w:val="28"/>
          <w:szCs w:val="28"/>
        </w:rPr>
        <w:t>视为撤回进行答辩</w:t>
      </w:r>
      <w:r>
        <w:rPr>
          <w:rFonts w:hint="eastAsia" w:ascii="宋体" w:hAnsi="宋体"/>
          <w:sz w:val="28"/>
          <w:szCs w:val="28"/>
        </w:rPr>
        <w:t>或对驳回决定进行复审请求</w:t>
      </w:r>
      <w:r>
        <w:rPr>
          <w:rFonts w:hint="eastAsia" w:ascii="宋体"/>
          <w:sz w:val="28"/>
        </w:rPr>
        <w:t>，并</w:t>
      </w:r>
      <w:r>
        <w:rPr>
          <w:rFonts w:hint="eastAsia" w:ascii="宋体" w:hAnsi="宋体"/>
          <w:bCs/>
          <w:sz w:val="28"/>
          <w:szCs w:val="28"/>
        </w:rPr>
        <w:t>对相关</w:t>
      </w:r>
      <w:r>
        <w:rPr>
          <w:rFonts w:hint="eastAsia" w:ascii="宋体" w:hAnsi="宋体"/>
          <w:sz w:val="28"/>
          <w:szCs w:val="28"/>
        </w:rPr>
        <w:t>费用予以明确</w:t>
      </w:r>
      <w:r>
        <w:rPr>
          <w:rFonts w:hint="eastAsia" w:ascii="宋体"/>
          <w:sz w:val="28"/>
        </w:rPr>
        <w:t>。</w:t>
      </w:r>
      <w:r>
        <w:rPr>
          <w:rFonts w:hint="eastAsia" w:ascii="宋体" w:hAnsi="宋体"/>
          <w:sz w:val="28"/>
          <w:szCs w:val="28"/>
        </w:rPr>
        <w:t>关于许可费返还与否的处理，可以约定</w:t>
      </w:r>
      <w:r>
        <w:rPr>
          <w:rFonts w:hint="eastAsia" w:ascii="宋体"/>
          <w:sz w:val="28"/>
        </w:rPr>
        <w:t>全部返回许可费，也可以约定部分返回，还可以约定合同履行超过一定时期或被许可方已经获得经济利益后、专利申请才被视为撤回或被驳回的，不予返还或少量返还。</w:t>
      </w:r>
      <w:r>
        <w:rPr>
          <w:rFonts w:hint="eastAsia" w:ascii="宋体" w:hAnsi="宋体"/>
          <w:sz w:val="28"/>
          <w:szCs w:val="28"/>
        </w:rPr>
        <w:t xml:space="preserve"> </w:t>
      </w:r>
    </w:p>
    <w:p w14:paraId="4663796D">
      <w:pPr>
        <w:widowControl/>
        <w:spacing w:line="400" w:lineRule="exact"/>
        <w:ind w:firstLine="570"/>
        <w:rPr>
          <w:rFonts w:ascii="宋体" w:hAnsi="宋体"/>
          <w:sz w:val="28"/>
          <w:szCs w:val="28"/>
        </w:rPr>
      </w:pPr>
    </w:p>
    <w:p w14:paraId="15EED491">
      <w:pPr>
        <w:widowControl/>
        <w:adjustRightInd w:val="0"/>
        <w:snapToGrid w:val="0"/>
        <w:spacing w:line="276" w:lineRule="auto"/>
        <w:ind w:firstLine="560" w:firstLineChars="200"/>
        <w:jc w:val="left"/>
        <w:rPr>
          <w:rFonts w:ascii="宋体" w:hAnsi="宋体"/>
          <w:sz w:val="28"/>
          <w:szCs w:val="28"/>
        </w:rPr>
      </w:pPr>
      <w:r>
        <w:rPr>
          <w:rFonts w:hint="eastAsia"/>
          <w:sz w:val="28"/>
        </w:rPr>
        <w:t>被许可方应当全面掌握和及时关注许可专利的法律状态。</w:t>
      </w:r>
      <w:r>
        <w:rPr>
          <w:rFonts w:hint="eastAsia" w:ascii="宋体" w:hAnsi="宋体"/>
          <w:bCs/>
          <w:sz w:val="28"/>
          <w:szCs w:val="28"/>
        </w:rPr>
        <w:t>一般来说，</w:t>
      </w:r>
      <w:r>
        <w:rPr>
          <w:rFonts w:ascii="宋体" w:hAnsi="宋体"/>
          <w:bCs/>
          <w:sz w:val="28"/>
          <w:szCs w:val="28"/>
        </w:rPr>
        <w:t>在合同有效期间，</w:t>
      </w:r>
      <w:r>
        <w:rPr>
          <w:rFonts w:hint="eastAsia" w:ascii="宋体" w:hAnsi="宋体"/>
          <w:bCs/>
          <w:sz w:val="28"/>
          <w:szCs w:val="28"/>
        </w:rPr>
        <w:t>许可方应当在第八条中承诺将已收到的专利管理部门或法院发出的体现许可专利法律状态变化或可能发生变化的文书（包括专利权无效宣告请求书、口头审理通知书、专利申请审查意见通知书、视为撤回通知书、驳回通知书等）信息及时告知被许可方。</w:t>
      </w:r>
      <w:r>
        <w:rPr>
          <w:rFonts w:hint="eastAsia"/>
          <w:sz w:val="28"/>
        </w:rPr>
        <w:t>被许可方也可以直接通过向专利管理部门查阅</w:t>
      </w:r>
      <w:r>
        <w:rPr>
          <w:sz w:val="28"/>
        </w:rPr>
        <w:t>专利登记簿</w:t>
      </w:r>
      <w:r>
        <w:rPr>
          <w:rFonts w:hint="eastAsia"/>
          <w:sz w:val="28"/>
        </w:rPr>
        <w:t>等方式，了解许可专利曾经发生或正在发生的转让、许可、质押、保全、复审、无效宣告等各种情况</w:t>
      </w:r>
      <w:r>
        <w:rPr>
          <w:sz w:val="28"/>
        </w:rPr>
        <w:t>。</w:t>
      </w:r>
      <w:r>
        <w:rPr>
          <w:rFonts w:hint="eastAsia"/>
          <w:sz w:val="28"/>
        </w:rPr>
        <w:t>若许可专利为专利申请，受让方可以通过专利管理部门已发出的通知书，判断其可能的授权前景。对于实用新型或外观设计专利权，被许可方应当关注该许可专利是否已出具专利权评价报告，及报告关于该专利是否符合授权条件的具体意见。</w:t>
      </w:r>
    </w:p>
    <w:p w14:paraId="72597EDF">
      <w:pPr>
        <w:spacing w:line="400" w:lineRule="exact"/>
        <w:ind w:firstLine="560" w:firstLineChars="200"/>
        <w:rPr>
          <w:rFonts w:ascii="宋体"/>
          <w:sz w:val="28"/>
        </w:rPr>
      </w:pPr>
    </w:p>
    <w:p w14:paraId="52BB63F0">
      <w:pPr>
        <w:numPr>
          <w:ilvl w:val="0"/>
          <w:numId w:val="13"/>
        </w:numPr>
        <w:spacing w:line="400" w:lineRule="exact"/>
        <w:outlineLvl w:val="0"/>
        <w:rPr>
          <w:rFonts w:ascii="黑体" w:eastAsia="黑体"/>
          <w:sz w:val="28"/>
        </w:rPr>
      </w:pPr>
      <w:r>
        <w:rPr>
          <w:rFonts w:hint="eastAsia" w:ascii="黑体" w:eastAsia="黑体"/>
          <w:sz w:val="28"/>
        </w:rPr>
        <w:t>不可抗力</w:t>
      </w:r>
    </w:p>
    <w:p w14:paraId="649DEEEA">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作出明确约定。</w:t>
      </w:r>
    </w:p>
    <w:p w14:paraId="02869A7B">
      <w:pPr>
        <w:spacing w:line="400" w:lineRule="exact"/>
        <w:ind w:firstLine="570"/>
        <w:rPr>
          <w:rFonts w:ascii="宋体"/>
          <w:sz w:val="28"/>
        </w:rPr>
      </w:pPr>
    </w:p>
    <w:p w14:paraId="098F3B1D">
      <w:pPr>
        <w:numPr>
          <w:ilvl w:val="0"/>
          <w:numId w:val="13"/>
        </w:numPr>
        <w:spacing w:line="400" w:lineRule="exact"/>
        <w:outlineLvl w:val="0"/>
        <w:rPr>
          <w:rFonts w:ascii="黑体" w:eastAsia="黑体"/>
          <w:sz w:val="28"/>
        </w:rPr>
      </w:pPr>
      <w:r>
        <w:rPr>
          <w:rFonts w:hint="eastAsia" w:ascii="黑体" w:eastAsia="黑体"/>
          <w:sz w:val="28"/>
        </w:rPr>
        <w:t>送达</w:t>
      </w:r>
    </w:p>
    <w:p w14:paraId="41B309F4">
      <w:pPr>
        <w:spacing w:line="400" w:lineRule="exact"/>
        <w:ind w:firstLine="570"/>
        <w:rPr>
          <w:rFonts w:ascii="宋体"/>
          <w:sz w:val="28"/>
        </w:rPr>
      </w:pPr>
      <w:r>
        <w:rPr>
          <w:rFonts w:hint="eastAsia" w:ascii="宋体"/>
          <w:sz w:val="28"/>
        </w:rPr>
        <w:t>考虑到专利许可所涉及的技术资料可能较为复杂和专业，建议双方安排专门的联系人进行对接，以保证专利许可顺利完成。此外，约定送达条款也可以在双方发生纠纷时，避免双方对通知、资料的送达产生争议。</w:t>
      </w:r>
    </w:p>
    <w:p w14:paraId="33306CFE">
      <w:pPr>
        <w:spacing w:line="400" w:lineRule="exact"/>
        <w:ind w:firstLine="570"/>
        <w:rPr>
          <w:rFonts w:ascii="宋体"/>
          <w:sz w:val="28"/>
        </w:rPr>
      </w:pPr>
    </w:p>
    <w:p w14:paraId="1A0B7EC2">
      <w:pPr>
        <w:numPr>
          <w:ilvl w:val="0"/>
          <w:numId w:val="13"/>
        </w:numPr>
        <w:spacing w:line="400" w:lineRule="exact"/>
        <w:outlineLvl w:val="0"/>
        <w:rPr>
          <w:rFonts w:ascii="黑体" w:eastAsia="黑体"/>
          <w:sz w:val="28"/>
        </w:rPr>
      </w:pPr>
      <w:r>
        <w:rPr>
          <w:rFonts w:ascii="黑体" w:eastAsia="黑体"/>
          <w:sz w:val="28"/>
        </w:rPr>
        <w:t>违约与损害赔偿</w:t>
      </w:r>
    </w:p>
    <w:p w14:paraId="6AF8295B">
      <w:pPr>
        <w:spacing w:line="400" w:lineRule="exact"/>
        <w:ind w:firstLine="570"/>
        <w:rPr>
          <w:rFonts w:ascii="宋体"/>
          <w:sz w:val="28"/>
        </w:rPr>
      </w:pPr>
      <w:r>
        <w:rPr>
          <w:rFonts w:ascii="宋体"/>
          <w:sz w:val="28"/>
        </w:rPr>
        <w:t>许可方在履行许可合同的时候，可能会存在违约行为</w:t>
      </w:r>
      <w:bookmarkStart w:id="6" w:name="_Hlk100934487"/>
      <w:r>
        <w:rPr>
          <w:rFonts w:hint="eastAsia" w:ascii="宋体"/>
          <w:sz w:val="28"/>
        </w:rPr>
        <w:t>。通常而言，许可方常见的违约场景包括：未提供或未及时完整提供技术资料、技术服务、培训</w:t>
      </w:r>
      <w:bookmarkEnd w:id="6"/>
      <w:r>
        <w:rPr>
          <w:rFonts w:hint="eastAsia" w:ascii="宋体"/>
          <w:sz w:val="28"/>
        </w:rPr>
        <w:t>；在排他实施许可中，许可方许可被许可方以外的第三方实施本合同项下的许可专利；或在独占实施许可中，许可方自己实施或许可被许可方以外的第三方实施本合同项下的许可专利等。</w:t>
      </w:r>
      <w:r>
        <w:rPr>
          <w:rFonts w:ascii="宋体"/>
          <w:sz w:val="28"/>
        </w:rPr>
        <w:t>被许可方在履行许可合同时，也可能会存在违约行为</w:t>
      </w:r>
      <w:bookmarkStart w:id="7" w:name="_Hlk100934530"/>
      <w:r>
        <w:rPr>
          <w:rFonts w:hint="eastAsia" w:ascii="宋体"/>
          <w:sz w:val="28"/>
        </w:rPr>
        <w:t>。通常而言，被许可方常见的违约场景包括：未支付或未及时足额支付许可费、违反合同项下的许可方式或范围使用许可专利以及违反合同的保密条款，致使许可方的保密信息泄露等</w:t>
      </w:r>
      <w:bookmarkEnd w:id="7"/>
      <w:r>
        <w:rPr>
          <w:rFonts w:hint="eastAsia" w:ascii="宋体"/>
          <w:sz w:val="28"/>
        </w:rPr>
        <w:t>。</w:t>
      </w:r>
    </w:p>
    <w:p w14:paraId="56291230">
      <w:pPr>
        <w:spacing w:line="400" w:lineRule="exact"/>
        <w:ind w:firstLine="570"/>
        <w:rPr>
          <w:rFonts w:ascii="宋体"/>
          <w:sz w:val="28"/>
        </w:rPr>
      </w:pPr>
    </w:p>
    <w:p w14:paraId="10ABE73F">
      <w:pPr>
        <w:spacing w:line="400" w:lineRule="exact"/>
        <w:ind w:firstLine="570"/>
        <w:rPr>
          <w:rFonts w:ascii="宋体"/>
          <w:sz w:val="28"/>
        </w:rPr>
      </w:pPr>
      <w:r>
        <w:rPr>
          <w:rFonts w:ascii="宋体"/>
          <w:sz w:val="28"/>
        </w:rPr>
        <w:t>针对</w:t>
      </w:r>
      <w:r>
        <w:rPr>
          <w:rFonts w:hint="eastAsia" w:ascii="宋体"/>
          <w:sz w:val="28"/>
        </w:rPr>
        <w:t>上述</w:t>
      </w:r>
      <w:r>
        <w:rPr>
          <w:rFonts w:ascii="宋体"/>
          <w:sz w:val="28"/>
        </w:rPr>
        <w:t>违约行为，双方可以在</w:t>
      </w:r>
      <w:r>
        <w:rPr>
          <w:rFonts w:hint="eastAsia" w:ascii="宋体"/>
          <w:sz w:val="28"/>
        </w:rPr>
        <w:t>许可</w:t>
      </w:r>
      <w:r>
        <w:rPr>
          <w:rFonts w:ascii="宋体"/>
          <w:sz w:val="28"/>
        </w:rPr>
        <w:t>合同中设置违约条款，要求违约方支付一定数额的违约金，并且可规定守约方在此种情况下享有终止合同的权利。但对于双方而言，此类违约行为的发生可能并非其有意为之</w:t>
      </w:r>
      <w:r>
        <w:rPr>
          <w:rFonts w:hint="eastAsia" w:ascii="宋体"/>
          <w:sz w:val="28"/>
        </w:rPr>
        <w:t>。</w:t>
      </w:r>
      <w:r>
        <w:rPr>
          <w:rFonts w:ascii="宋体"/>
          <w:sz w:val="28"/>
        </w:rPr>
        <w:t>以被许可方未支付</w:t>
      </w:r>
      <w:r>
        <w:rPr>
          <w:rFonts w:hint="eastAsia" w:ascii="宋体"/>
          <w:sz w:val="28"/>
        </w:rPr>
        <w:t>许可费</w:t>
      </w:r>
      <w:r>
        <w:rPr>
          <w:rFonts w:ascii="宋体"/>
          <w:sz w:val="28"/>
        </w:rPr>
        <w:t>为例，如果被许可方因此而需要停止生产或销售</w:t>
      </w:r>
      <w:r>
        <w:rPr>
          <w:rFonts w:hint="eastAsia" w:ascii="宋体"/>
          <w:sz w:val="28"/>
        </w:rPr>
        <w:t>许可</w:t>
      </w:r>
      <w:r>
        <w:rPr>
          <w:rFonts w:ascii="宋体"/>
          <w:sz w:val="28"/>
        </w:rPr>
        <w:t>产品，对其可能会造成难以弥补的损失。因此，双方</w:t>
      </w:r>
      <w:r>
        <w:rPr>
          <w:rFonts w:hint="eastAsia" w:ascii="宋体"/>
          <w:sz w:val="28"/>
        </w:rPr>
        <w:t>可以</w:t>
      </w:r>
      <w:r>
        <w:rPr>
          <w:rFonts w:ascii="宋体"/>
          <w:sz w:val="28"/>
        </w:rPr>
        <w:t>在</w:t>
      </w:r>
      <w:r>
        <w:rPr>
          <w:rFonts w:hint="eastAsia" w:ascii="宋体"/>
          <w:sz w:val="28"/>
        </w:rPr>
        <w:t>许可</w:t>
      </w:r>
      <w:r>
        <w:rPr>
          <w:rFonts w:ascii="宋体"/>
          <w:sz w:val="28"/>
        </w:rPr>
        <w:t>合同约定一个违约通知期，要求守约方在此种情况下应当向违约方进行通知，并允许违约方进行补救，只有违约方在通知期限内未采取任何补救行为的情况下，守约方才可以行使终止合同等权利</w:t>
      </w:r>
      <w:r>
        <w:rPr>
          <w:rFonts w:hint="eastAsia" w:ascii="宋体"/>
          <w:sz w:val="28"/>
        </w:rPr>
        <w:t>。</w:t>
      </w:r>
    </w:p>
    <w:p w14:paraId="1AB7D6D1">
      <w:pPr>
        <w:spacing w:line="400" w:lineRule="exact"/>
        <w:ind w:firstLine="570"/>
        <w:rPr>
          <w:rFonts w:ascii="宋体"/>
          <w:sz w:val="28"/>
        </w:rPr>
      </w:pPr>
    </w:p>
    <w:p w14:paraId="78F3329B">
      <w:pPr>
        <w:spacing w:line="400" w:lineRule="exact"/>
        <w:ind w:firstLine="570"/>
        <w:rPr>
          <w:rFonts w:ascii="宋体"/>
          <w:sz w:val="28"/>
        </w:rPr>
      </w:pPr>
      <w:r>
        <w:rPr>
          <w:rFonts w:hint="eastAsia" w:ascii="宋体"/>
          <w:sz w:val="28"/>
        </w:rPr>
        <w:t>除了约定违约金，</w:t>
      </w:r>
      <w:r>
        <w:rPr>
          <w:rFonts w:ascii="宋体"/>
          <w:sz w:val="28"/>
        </w:rPr>
        <w:t>当事人一方不履行合同义务或者履行不符合约定，造成对方损失的</w:t>
      </w:r>
      <w:r>
        <w:rPr>
          <w:rFonts w:hint="eastAsia" w:ascii="宋体"/>
          <w:sz w:val="28"/>
        </w:rPr>
        <w:t>，也可以主张损害赔偿。根据《民法典》第</w:t>
      </w:r>
      <w:bookmarkStart w:id="8" w:name="584"/>
      <w:r>
        <w:rPr>
          <w:rFonts w:ascii="宋体"/>
          <w:sz w:val="28"/>
        </w:rPr>
        <w:t>五百八十四条</w:t>
      </w:r>
      <w:bookmarkEnd w:id="8"/>
      <w:r>
        <w:rPr>
          <w:rFonts w:hint="eastAsia" w:ascii="宋体"/>
          <w:sz w:val="28"/>
        </w:rPr>
        <w:t>，</w:t>
      </w:r>
      <w:r>
        <w:rPr>
          <w:rFonts w:ascii="宋体"/>
          <w:sz w:val="28"/>
        </w:rPr>
        <w:t>损失赔偿额应当相当于因违约所造成的损失，包括合同履行后可以获得的利益；但是，不得超过违约方订立合同时</w:t>
      </w:r>
      <w:r>
        <w:rPr>
          <w:rFonts w:hint="eastAsia" w:ascii="宋体"/>
          <w:sz w:val="28"/>
        </w:rPr>
        <w:t>所能</w:t>
      </w:r>
      <w:r>
        <w:rPr>
          <w:rFonts w:ascii="宋体"/>
          <w:sz w:val="28"/>
        </w:rPr>
        <w:t>预见的因违约可能造成的损失。</w:t>
      </w:r>
    </w:p>
    <w:p w14:paraId="6196FA12">
      <w:pPr>
        <w:spacing w:line="400" w:lineRule="exact"/>
        <w:rPr>
          <w:rFonts w:ascii="宋体"/>
          <w:sz w:val="28"/>
        </w:rPr>
      </w:pPr>
    </w:p>
    <w:p w14:paraId="0A367796">
      <w:pPr>
        <w:numPr>
          <w:ilvl w:val="0"/>
          <w:numId w:val="13"/>
        </w:numPr>
        <w:spacing w:line="400" w:lineRule="exact"/>
        <w:outlineLvl w:val="0"/>
        <w:rPr>
          <w:rFonts w:ascii="黑体" w:eastAsia="黑体"/>
          <w:sz w:val="28"/>
        </w:rPr>
      </w:pPr>
      <w:bookmarkStart w:id="9" w:name="_Hlk100867661"/>
      <w:r>
        <w:rPr>
          <w:rFonts w:hint="eastAsia" w:ascii="黑体" w:eastAsia="黑体"/>
          <w:sz w:val="28"/>
        </w:rPr>
        <w:t>税费 （选填）</w:t>
      </w:r>
    </w:p>
    <w:p w14:paraId="4727E877">
      <w:pPr>
        <w:spacing w:line="400" w:lineRule="exact"/>
        <w:ind w:firstLine="570"/>
        <w:rPr>
          <w:bCs/>
          <w:sz w:val="28"/>
        </w:rPr>
      </w:pPr>
      <w:r>
        <w:rPr>
          <w:rFonts w:hint="eastAsia"/>
          <w:bCs/>
          <w:sz w:val="28"/>
        </w:rPr>
        <w:t>在专利实施许可合同中，关于当事人各方纳税义务等事项的条款，通常称“税费”条款。纳税主体应当如何纳税，应当由对纳税主体或纳税客体有管辖权国家的法律予以规定。交易的当事人作为纳税主体，以任何形式约定的纳税事项，都不能排除法律对其所规定的纳税义务。</w:t>
      </w:r>
    </w:p>
    <w:p w14:paraId="7312FDCA">
      <w:pPr>
        <w:spacing w:line="400" w:lineRule="exact"/>
        <w:ind w:left="567" w:leftChars="270"/>
        <w:rPr>
          <w:sz w:val="28"/>
        </w:rPr>
      </w:pPr>
    </w:p>
    <w:p w14:paraId="03059006">
      <w:pPr>
        <w:spacing w:line="400" w:lineRule="exact"/>
        <w:ind w:firstLine="570"/>
        <w:rPr>
          <w:sz w:val="28"/>
        </w:rPr>
      </w:pPr>
      <w:r>
        <w:rPr>
          <w:rFonts w:hint="eastAsia"/>
          <w:sz w:val="28"/>
        </w:rPr>
        <w:t>然而，在专利实施许可合同中却通常可以看到税费条款。之所以如此，原因主要在于：（1）当事人为了避免双方在税费事项上所可能产生的误解，要重申法律所规定的纳税义务；（2）我国税法明确规定了各税种的纳税义务人，但是未明确禁止纳税义务人与合同相对人约定由纳税人以外的人负担税款，合同双方可以通过税费条款进行税款经济负担的约定。</w:t>
      </w:r>
    </w:p>
    <w:p w14:paraId="42718469">
      <w:pPr>
        <w:spacing w:line="400" w:lineRule="exact"/>
        <w:ind w:firstLine="570"/>
        <w:rPr>
          <w:sz w:val="28"/>
        </w:rPr>
      </w:pPr>
    </w:p>
    <w:bookmarkEnd w:id="9"/>
    <w:p w14:paraId="223177C7">
      <w:pPr>
        <w:numPr>
          <w:ilvl w:val="0"/>
          <w:numId w:val="13"/>
        </w:numPr>
        <w:spacing w:line="400" w:lineRule="exact"/>
        <w:outlineLvl w:val="0"/>
        <w:rPr>
          <w:rFonts w:ascii="黑体" w:eastAsia="黑体"/>
          <w:sz w:val="28"/>
        </w:rPr>
      </w:pPr>
      <w:r>
        <w:rPr>
          <w:rFonts w:hint="eastAsia" w:ascii="黑体" w:eastAsia="黑体"/>
          <w:sz w:val="28"/>
        </w:rPr>
        <w:t>争议解决</w:t>
      </w:r>
    </w:p>
    <w:p w14:paraId="3B41EBCC">
      <w:pPr>
        <w:spacing w:line="400" w:lineRule="exact"/>
        <w:ind w:firstLine="570"/>
        <w:rPr>
          <w:rFonts w:ascii="宋体"/>
          <w:sz w:val="28"/>
        </w:rPr>
      </w:pPr>
      <w:r>
        <w:rPr>
          <w:rFonts w:ascii="宋体"/>
          <w:sz w:val="28"/>
        </w:rPr>
        <w:t>争议解决条款应当明确许可合同所适用的法律和争议解决方式。</w:t>
      </w:r>
    </w:p>
    <w:p w14:paraId="131F66FE">
      <w:pPr>
        <w:spacing w:line="400" w:lineRule="exact"/>
        <w:ind w:firstLine="570"/>
        <w:rPr>
          <w:rFonts w:ascii="宋体"/>
          <w:sz w:val="28"/>
        </w:rPr>
      </w:pPr>
    </w:p>
    <w:p w14:paraId="7AEFA469">
      <w:pPr>
        <w:spacing w:line="400" w:lineRule="exact"/>
        <w:ind w:firstLine="570"/>
        <w:rPr>
          <w:rFonts w:ascii="宋体"/>
          <w:sz w:val="28"/>
        </w:rPr>
      </w:pPr>
      <w:bookmarkStart w:id="10" w:name="_Hlk100867742"/>
      <w:r>
        <w:rPr>
          <w:rFonts w:hint="eastAsia" w:ascii="宋体"/>
          <w:sz w:val="28"/>
        </w:rPr>
        <w:t>在适用法律方面，若专利实施许可合同不涉及涉外因素，则统一适用中华人民共和国法律。若一方当事人为中国公民或法人，或许可实施行为发生在中国，一般应当适用中华人民共和国法律。若专利实施许可合同调整的是涉外知识产权关系，则应当根据《中华人民共和国涉外民事关系法律适用法》第四十一条和第四十九条，由当事人在合同中协议选择知识产权许可适用的法律，常见的有合同履行地法律、合同签署地法律、某个中立国家或地区的法律、双方所在地法律等。</w:t>
      </w:r>
    </w:p>
    <w:bookmarkEnd w:id="10"/>
    <w:p w14:paraId="1DBBDAE7">
      <w:pPr>
        <w:spacing w:line="400" w:lineRule="exact"/>
        <w:ind w:firstLine="570"/>
        <w:rPr>
          <w:rFonts w:ascii="宋体"/>
          <w:sz w:val="28"/>
        </w:rPr>
      </w:pPr>
    </w:p>
    <w:p w14:paraId="3D92566A">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14:paraId="52C4DA40">
      <w:pPr>
        <w:spacing w:line="400" w:lineRule="exact"/>
        <w:ind w:firstLine="570"/>
        <w:rPr>
          <w:rFonts w:ascii="宋体"/>
          <w:sz w:val="28"/>
        </w:rPr>
      </w:pPr>
    </w:p>
    <w:p w14:paraId="3F05F046">
      <w:pPr>
        <w:spacing w:line="400" w:lineRule="exact"/>
        <w:ind w:firstLine="570"/>
        <w:rPr>
          <w:rFonts w:ascii="宋体"/>
          <w:sz w:val="28"/>
        </w:rPr>
      </w:pPr>
      <w:r>
        <w:rPr>
          <w:rFonts w:hint="eastAsia" w:ascii="宋体"/>
          <w:sz w:val="28"/>
        </w:rPr>
        <w:t>从</w:t>
      </w:r>
      <w:r>
        <w:rPr>
          <w:rFonts w:ascii="宋体"/>
          <w:sz w:val="28"/>
        </w:rPr>
        <w:t>效率</w:t>
      </w:r>
      <w:r>
        <w:rPr>
          <w:rFonts w:hint="eastAsia" w:ascii="宋体"/>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14:paraId="05F9BE71">
      <w:pPr>
        <w:spacing w:line="400" w:lineRule="exact"/>
        <w:ind w:firstLine="570"/>
        <w:rPr>
          <w:rFonts w:ascii="宋体"/>
          <w:sz w:val="28"/>
        </w:rPr>
      </w:pPr>
    </w:p>
    <w:p w14:paraId="0795B583">
      <w:pPr>
        <w:spacing w:line="400" w:lineRule="exact"/>
        <w:ind w:firstLine="570"/>
        <w:rPr>
          <w:rFonts w:ascii="宋体"/>
          <w:sz w:val="28"/>
        </w:rPr>
      </w:pPr>
      <w:r>
        <w:rPr>
          <w:rFonts w:hint="eastAsia" w:ascii="宋体"/>
          <w:sz w:val="28"/>
        </w:rPr>
        <w:t>从</w:t>
      </w:r>
      <w:r>
        <w:rPr>
          <w:rFonts w:ascii="宋体"/>
          <w:sz w:val="28"/>
        </w:rPr>
        <w:t>权利救济</w:t>
      </w:r>
      <w:r>
        <w:rPr>
          <w:rFonts w:hint="eastAsia" w:ascii="宋体"/>
          <w:sz w:val="28"/>
        </w:rPr>
        <w:t>方面考虑</w:t>
      </w:r>
      <w:r>
        <w:rPr>
          <w:rFonts w:ascii="宋体"/>
          <w:sz w:val="28"/>
        </w:rPr>
        <w:t>，仲裁是一裁终局，在快捷方便的同时，失去了二审的监督作用，当事人没有进一步主张权利的回旋</w:t>
      </w:r>
      <w:r>
        <w:rPr>
          <w:rFonts w:hint="eastAsia" w:ascii="宋体"/>
          <w:sz w:val="28"/>
        </w:rPr>
        <w:t>余地（</w:t>
      </w:r>
      <w:r>
        <w:rPr>
          <w:rFonts w:ascii="宋体"/>
          <w:sz w:val="28"/>
        </w:rPr>
        <w:t>在法定情况下，当事人可以向法院申请撤销仲裁裁决</w:t>
      </w:r>
      <w:r>
        <w:rPr>
          <w:rFonts w:hint="eastAsia" w:ascii="宋体"/>
          <w:sz w:val="28"/>
        </w:rPr>
        <w:t>）</w:t>
      </w:r>
      <w:r>
        <w:rPr>
          <w:rFonts w:ascii="宋体"/>
          <w:sz w:val="28"/>
        </w:rPr>
        <w:t>。</w:t>
      </w:r>
      <w:r>
        <w:rPr>
          <w:rFonts w:hint="eastAsia" w:ascii="宋体"/>
          <w:sz w:val="28"/>
        </w:rPr>
        <w:t>相比而言，由于</w:t>
      </w:r>
      <w:r>
        <w:rPr>
          <w:rFonts w:ascii="宋体"/>
          <w:sz w:val="28"/>
        </w:rPr>
        <w:t>诉讼是</w:t>
      </w:r>
      <w:r>
        <w:rPr>
          <w:rFonts w:hint="eastAsia" w:ascii="宋体"/>
          <w:sz w:val="28"/>
        </w:rPr>
        <w:t>两审</w:t>
      </w:r>
      <w:r>
        <w:rPr>
          <w:rFonts w:ascii="宋体"/>
          <w:sz w:val="28"/>
        </w:rPr>
        <w:t>终审，即便是发生了法律效力的判决，当事人还可以向上级法院申请再审，救济途径相对更广。</w:t>
      </w:r>
      <w:r>
        <w:rPr>
          <w:rFonts w:hint="eastAsia" w:ascii="宋体"/>
          <w:sz w:val="28"/>
        </w:rPr>
        <w:t>此外，无论是采取仲裁还是采取诉讼的解决方式，在仲裁庭作出裁决前或法院作出判决前，当事人均可以先行调解。</w:t>
      </w:r>
    </w:p>
    <w:p w14:paraId="024D4556">
      <w:pPr>
        <w:spacing w:line="400" w:lineRule="exact"/>
        <w:ind w:firstLine="570"/>
        <w:rPr>
          <w:rFonts w:ascii="宋体"/>
          <w:sz w:val="28"/>
        </w:rPr>
      </w:pPr>
    </w:p>
    <w:p w14:paraId="74332300">
      <w:pPr>
        <w:numPr>
          <w:ilvl w:val="0"/>
          <w:numId w:val="13"/>
        </w:numPr>
        <w:spacing w:line="400" w:lineRule="exact"/>
        <w:outlineLvl w:val="0"/>
        <w:rPr>
          <w:rFonts w:ascii="黑体" w:eastAsia="黑体"/>
          <w:sz w:val="28"/>
        </w:rPr>
      </w:pPr>
      <w:r>
        <w:rPr>
          <w:rFonts w:ascii="黑体" w:eastAsia="黑体"/>
          <w:sz w:val="28"/>
        </w:rPr>
        <w:t>合同的生效、变更与终止</w:t>
      </w:r>
    </w:p>
    <w:p w14:paraId="78BE0081">
      <w:pPr>
        <w:spacing w:line="400" w:lineRule="exact"/>
        <w:ind w:firstLine="570"/>
        <w:rPr>
          <w:rFonts w:ascii="宋体"/>
          <w:sz w:val="28"/>
        </w:rPr>
      </w:pPr>
      <w:r>
        <w:rPr>
          <w:rFonts w:hint="eastAsia" w:ascii="宋体"/>
          <w:sz w:val="28"/>
        </w:rPr>
        <w:t>本条款的作用在于明确许可合同的生效时间，以及变更、修改、终止合同情形下所需满足的条件，为一般合同的基本条款。实践中，当事人可能会依据在先许可合同的终止日期等信息，专门设置专利实施许可合同的生效日期。若确实存在上述情况，则双方可在第十七条中另行约定。</w:t>
      </w:r>
    </w:p>
    <w:p w14:paraId="55864A92">
      <w:pPr>
        <w:spacing w:line="400" w:lineRule="exact"/>
        <w:ind w:firstLine="570"/>
        <w:rPr>
          <w:rFonts w:ascii="宋体"/>
          <w:sz w:val="28"/>
        </w:rPr>
      </w:pPr>
    </w:p>
    <w:p w14:paraId="522782E9">
      <w:pPr>
        <w:spacing w:line="400" w:lineRule="exact"/>
        <w:ind w:firstLine="570"/>
        <w:rPr>
          <w:rFonts w:ascii="宋体"/>
          <w:sz w:val="28"/>
        </w:rPr>
      </w:pPr>
      <w:r>
        <w:rPr>
          <w:rFonts w:hint="eastAsia" w:ascii="宋体"/>
          <w:sz w:val="28"/>
        </w:rPr>
        <w:t>为督促被许可方积极实施许可专利，实践中（尤其是在独占实施许可的情况下）许可方可能会要求，若一定期限内被许可方无正当理由不实施许可专利的，许可方将有权单方面终止专利实施许可合同。若确实存在上述需要，双方亦可在第十七条中进行约定。</w:t>
      </w:r>
    </w:p>
    <w:p w14:paraId="6109B2A0">
      <w:pPr>
        <w:spacing w:line="400" w:lineRule="exact"/>
        <w:rPr>
          <w:rFonts w:ascii="宋体"/>
          <w:sz w:val="28"/>
        </w:rPr>
      </w:pPr>
    </w:p>
    <w:p w14:paraId="020ADA32">
      <w:pPr>
        <w:numPr>
          <w:ilvl w:val="0"/>
          <w:numId w:val="13"/>
        </w:numPr>
        <w:spacing w:line="400" w:lineRule="exact"/>
        <w:outlineLvl w:val="0"/>
        <w:rPr>
          <w:rFonts w:ascii="黑体" w:eastAsia="黑体"/>
          <w:sz w:val="28"/>
        </w:rPr>
      </w:pPr>
      <w:r>
        <w:rPr>
          <w:rFonts w:hint="eastAsia" w:ascii="黑体" w:eastAsia="黑体"/>
          <w:sz w:val="28"/>
        </w:rPr>
        <w:t>其他</w:t>
      </w:r>
    </w:p>
    <w:p w14:paraId="2A3CB4D9">
      <w:pPr>
        <w:spacing w:line="400" w:lineRule="exact"/>
        <w:ind w:firstLine="570"/>
        <w:rPr>
          <w:rFonts w:ascii="宋体"/>
          <w:sz w:val="28"/>
        </w:rPr>
      </w:pPr>
      <w:r>
        <w:rPr>
          <w:rFonts w:hint="eastAsia" w:ascii="宋体"/>
          <w:sz w:val="28"/>
        </w:rPr>
        <w:t>前十七条没有包含，但需要特殊约定的内容，如其他特殊约定，包括出现不可预见的技术问题如何解决，出现不可预见的法律问题如何解决等。</w:t>
      </w:r>
    </w:p>
    <w:p w14:paraId="12D661FC">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62F7">
    <w:pPr>
      <w:pStyle w:val="6"/>
      <w:jc w:val="center"/>
    </w:pPr>
    <w:r>
      <w:fldChar w:fldCharType="begin"/>
    </w:r>
    <w:r>
      <w:instrText xml:space="preserve">PAGE   \* MERGEFORMAT</w:instrText>
    </w:r>
    <w:r>
      <w:fldChar w:fldCharType="separate"/>
    </w:r>
    <w:r>
      <w:rPr>
        <w:lang w:val="zh-CN"/>
      </w:rPr>
      <w:t>45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3BD5">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AC24">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E14C">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CFAF">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2C1E0">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ABF2"/>
    <w:multiLevelType w:val="singleLevel"/>
    <w:tmpl w:val="992FABF2"/>
    <w:lvl w:ilvl="0" w:tentative="0">
      <w:start w:val="1"/>
      <w:numFmt w:val="decimal"/>
      <w:suff w:val="space"/>
      <w:lvlText w:val="(%1)"/>
      <w:lvlJc w:val="left"/>
    </w:lvl>
  </w:abstractNum>
  <w:abstractNum w:abstractNumId="1">
    <w:nsid w:val="B9E06AF8"/>
    <w:multiLevelType w:val="singleLevel"/>
    <w:tmpl w:val="B9E06AF8"/>
    <w:lvl w:ilvl="0" w:tentative="0">
      <w:start w:val="1"/>
      <w:numFmt w:val="decimal"/>
      <w:suff w:val="space"/>
      <w:lvlText w:val="（%1）"/>
      <w:lvlJc w:val="left"/>
    </w:lvl>
  </w:abstractNum>
  <w:abstractNum w:abstractNumId="2">
    <w:nsid w:val="06AF25D8"/>
    <w:multiLevelType w:val="multilevel"/>
    <w:tmpl w:val="06AF25D8"/>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4F11A80"/>
    <w:multiLevelType w:val="singleLevel"/>
    <w:tmpl w:val="14F11A80"/>
    <w:lvl w:ilvl="0" w:tentative="0">
      <w:start w:val="1"/>
      <w:numFmt w:val="japaneseCounting"/>
      <w:lvlText w:val="第%1条"/>
      <w:lvlJc w:val="left"/>
      <w:pPr>
        <w:tabs>
          <w:tab w:val="left" w:pos="1410"/>
        </w:tabs>
        <w:ind w:left="1410" w:hanging="1410"/>
      </w:pPr>
      <w:rPr>
        <w:rFonts w:hint="eastAsia"/>
        <w:b w:val="0"/>
        <w:bCs w:val="0"/>
      </w:rPr>
    </w:lvl>
  </w:abstractNum>
  <w:abstractNum w:abstractNumId="4">
    <w:nsid w:val="1E235290"/>
    <w:multiLevelType w:val="multilevel"/>
    <w:tmpl w:val="1E2352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EnclosedCircle"/>
      <w:lvlText w:val="%4."/>
      <w:lvlJc w:val="left"/>
      <w:pPr>
        <w:ind w:left="851" w:hanging="851"/>
      </w:pPr>
      <w:rPr>
        <w:rFonts w:hint="eastAsia"/>
        <w:strike w:val="0"/>
        <w:color w:val="auto"/>
        <w:sz w:val="28"/>
        <w:szCs w:val="28"/>
        <w:shd w:val="clear" w:color="auto" w:fill="auto"/>
        <w:lang w:val="en-US"/>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B0A1BF0"/>
    <w:multiLevelType w:val="singleLevel"/>
    <w:tmpl w:val="2B0A1BF0"/>
    <w:lvl w:ilvl="0" w:tentative="0">
      <w:start w:val="1"/>
      <w:numFmt w:val="decimal"/>
      <w:suff w:val="space"/>
      <w:lvlText w:val="(%1)"/>
      <w:lvlJc w:val="left"/>
    </w:lvl>
  </w:abstractNum>
  <w:abstractNum w:abstractNumId="6">
    <w:nsid w:val="2F6B8A2A"/>
    <w:multiLevelType w:val="singleLevel"/>
    <w:tmpl w:val="2F6B8A2A"/>
    <w:lvl w:ilvl="0" w:tentative="0">
      <w:start w:val="1"/>
      <w:numFmt w:val="decimal"/>
      <w:suff w:val="space"/>
      <w:lvlText w:val="%1."/>
      <w:lvlJc w:val="left"/>
    </w:lvl>
  </w:abstractNum>
  <w:abstractNum w:abstractNumId="7">
    <w:nsid w:val="3031776E"/>
    <w:multiLevelType w:val="multilevel"/>
    <w:tmpl w:val="3031776E"/>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436DB73D"/>
    <w:multiLevelType w:val="singleLevel"/>
    <w:tmpl w:val="436DB73D"/>
    <w:lvl w:ilvl="0" w:tentative="0">
      <w:start w:val="1"/>
      <w:numFmt w:val="decimal"/>
      <w:suff w:val="space"/>
      <w:lvlText w:val="%1."/>
      <w:lvlJc w:val="left"/>
    </w:lvl>
  </w:abstractNum>
  <w:abstractNum w:abstractNumId="9">
    <w:nsid w:val="52B37610"/>
    <w:multiLevelType w:val="multilevel"/>
    <w:tmpl w:val="52B3761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FA1A90"/>
    <w:multiLevelType w:val="multilevel"/>
    <w:tmpl w:val="60FA1A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6449C0B0"/>
    <w:multiLevelType w:val="singleLevel"/>
    <w:tmpl w:val="6449C0B0"/>
    <w:lvl w:ilvl="0" w:tentative="0">
      <w:start w:val="1"/>
      <w:numFmt w:val="decimal"/>
      <w:suff w:val="space"/>
      <w:lvlText w:val="(%1)"/>
      <w:lvlJc w:val="left"/>
    </w:lvl>
  </w:abstractNum>
  <w:abstractNum w:abstractNumId="13">
    <w:nsid w:val="66A80DF4"/>
    <w:multiLevelType w:val="multilevel"/>
    <w:tmpl w:val="66A80DF4"/>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6AEE3F2C"/>
    <w:multiLevelType w:val="singleLevel"/>
    <w:tmpl w:val="6AEE3F2C"/>
    <w:lvl w:ilvl="0" w:tentative="0">
      <w:start w:val="1"/>
      <w:numFmt w:val="decimal"/>
      <w:suff w:val="nothing"/>
      <w:lvlText w:val="（%1）"/>
      <w:lvlJc w:val="left"/>
    </w:lvl>
  </w:abstractNum>
  <w:abstractNum w:abstractNumId="15">
    <w:nsid w:val="789DE97A"/>
    <w:multiLevelType w:val="singleLevel"/>
    <w:tmpl w:val="789DE97A"/>
    <w:lvl w:ilvl="0" w:tentative="0">
      <w:start w:val="1"/>
      <w:numFmt w:val="decimal"/>
      <w:suff w:val="space"/>
      <w:lvlText w:val="%1."/>
      <w:lvlJc w:val="left"/>
    </w:lvl>
  </w:abstractNum>
  <w:num w:numId="1">
    <w:abstractNumId w:val="10"/>
  </w:num>
  <w:num w:numId="2">
    <w:abstractNumId w:val="11"/>
  </w:num>
  <w:num w:numId="3">
    <w:abstractNumId w:val="9"/>
  </w:num>
  <w:num w:numId="4">
    <w:abstractNumId w:val="5"/>
  </w:num>
  <w:num w:numId="5">
    <w:abstractNumId w:val="12"/>
  </w:num>
  <w:num w:numId="6">
    <w:abstractNumId w:val="6"/>
  </w:num>
  <w:num w:numId="7">
    <w:abstractNumId w:val="1"/>
  </w:num>
  <w:num w:numId="8">
    <w:abstractNumId w:val="14"/>
  </w:num>
  <w:num w:numId="9">
    <w:abstractNumId w:val="0"/>
  </w:num>
  <w:num w:numId="10">
    <w:abstractNumId w:val="15"/>
  </w:num>
  <w:num w:numId="11">
    <w:abstractNumId w:val="4"/>
  </w:num>
  <w:num w:numId="12">
    <w:abstractNumId w:val="8"/>
  </w:num>
  <w:num w:numId="13">
    <w:abstractNumId w:val="3"/>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czMzY1NzEyNzEwZmE5NjJkMWVkZmRiODUxMGI2ODAifQ=="/>
  </w:docVars>
  <w:rsids>
    <w:rsidRoot w:val="00FD79D0"/>
    <w:rsid w:val="000225F7"/>
    <w:rsid w:val="00023903"/>
    <w:rsid w:val="00047B7B"/>
    <w:rsid w:val="0009122B"/>
    <w:rsid w:val="000B6795"/>
    <w:rsid w:val="000E6242"/>
    <w:rsid w:val="000F01A7"/>
    <w:rsid w:val="00105D0B"/>
    <w:rsid w:val="00136D1E"/>
    <w:rsid w:val="0019363B"/>
    <w:rsid w:val="002122B0"/>
    <w:rsid w:val="00215ACD"/>
    <w:rsid w:val="00225276"/>
    <w:rsid w:val="00236C67"/>
    <w:rsid w:val="00243834"/>
    <w:rsid w:val="002669FA"/>
    <w:rsid w:val="0029490E"/>
    <w:rsid w:val="002A60CF"/>
    <w:rsid w:val="002C0C89"/>
    <w:rsid w:val="003150EF"/>
    <w:rsid w:val="00335281"/>
    <w:rsid w:val="00405784"/>
    <w:rsid w:val="0043593E"/>
    <w:rsid w:val="004628ED"/>
    <w:rsid w:val="004655EA"/>
    <w:rsid w:val="004D0D9C"/>
    <w:rsid w:val="00513ABB"/>
    <w:rsid w:val="00516D74"/>
    <w:rsid w:val="005705E6"/>
    <w:rsid w:val="006837D6"/>
    <w:rsid w:val="006C6D4E"/>
    <w:rsid w:val="006F0432"/>
    <w:rsid w:val="00706B97"/>
    <w:rsid w:val="00714ED0"/>
    <w:rsid w:val="007E2120"/>
    <w:rsid w:val="00830A2E"/>
    <w:rsid w:val="008368A0"/>
    <w:rsid w:val="00844285"/>
    <w:rsid w:val="0087270F"/>
    <w:rsid w:val="008B495D"/>
    <w:rsid w:val="008D7FD7"/>
    <w:rsid w:val="008F30FC"/>
    <w:rsid w:val="008F49B1"/>
    <w:rsid w:val="009619E6"/>
    <w:rsid w:val="009771B8"/>
    <w:rsid w:val="009B4823"/>
    <w:rsid w:val="009C64F3"/>
    <w:rsid w:val="009C734F"/>
    <w:rsid w:val="00A3146D"/>
    <w:rsid w:val="00A43E6A"/>
    <w:rsid w:val="00AA415D"/>
    <w:rsid w:val="00AC60BB"/>
    <w:rsid w:val="00AD03D4"/>
    <w:rsid w:val="00AF322A"/>
    <w:rsid w:val="00B02BA9"/>
    <w:rsid w:val="00B41A3B"/>
    <w:rsid w:val="00B90E21"/>
    <w:rsid w:val="00C1126E"/>
    <w:rsid w:val="00C230C6"/>
    <w:rsid w:val="00C4187C"/>
    <w:rsid w:val="00C4766D"/>
    <w:rsid w:val="00C55631"/>
    <w:rsid w:val="00C863E4"/>
    <w:rsid w:val="00D06063"/>
    <w:rsid w:val="00D30F81"/>
    <w:rsid w:val="00D5517B"/>
    <w:rsid w:val="00DC7301"/>
    <w:rsid w:val="00E27CDC"/>
    <w:rsid w:val="00E33678"/>
    <w:rsid w:val="00E62746"/>
    <w:rsid w:val="00E664D8"/>
    <w:rsid w:val="00E73C8B"/>
    <w:rsid w:val="00E86079"/>
    <w:rsid w:val="00EC0BA1"/>
    <w:rsid w:val="00ED3415"/>
    <w:rsid w:val="00EE0B46"/>
    <w:rsid w:val="00F53A7A"/>
    <w:rsid w:val="00F77777"/>
    <w:rsid w:val="00FB27A3"/>
    <w:rsid w:val="00FD79D0"/>
    <w:rsid w:val="015754F6"/>
    <w:rsid w:val="01B110AA"/>
    <w:rsid w:val="01B12E58"/>
    <w:rsid w:val="01C761D7"/>
    <w:rsid w:val="01D8093F"/>
    <w:rsid w:val="01FF1E15"/>
    <w:rsid w:val="02D23086"/>
    <w:rsid w:val="032A2EC2"/>
    <w:rsid w:val="03333CE8"/>
    <w:rsid w:val="04675A50"/>
    <w:rsid w:val="05793C8D"/>
    <w:rsid w:val="05940AC6"/>
    <w:rsid w:val="05D215EF"/>
    <w:rsid w:val="064424ED"/>
    <w:rsid w:val="07373DFF"/>
    <w:rsid w:val="07862691"/>
    <w:rsid w:val="07AF3996"/>
    <w:rsid w:val="07CA07CF"/>
    <w:rsid w:val="08332819"/>
    <w:rsid w:val="084A7B62"/>
    <w:rsid w:val="09265ED9"/>
    <w:rsid w:val="0934265E"/>
    <w:rsid w:val="0A0B50CF"/>
    <w:rsid w:val="0B732F2C"/>
    <w:rsid w:val="0BA457DB"/>
    <w:rsid w:val="0C032502"/>
    <w:rsid w:val="0C5B40EC"/>
    <w:rsid w:val="0E925FDE"/>
    <w:rsid w:val="0E975183"/>
    <w:rsid w:val="0EAF071F"/>
    <w:rsid w:val="0F403AFB"/>
    <w:rsid w:val="0F5D017B"/>
    <w:rsid w:val="0FB029A1"/>
    <w:rsid w:val="0FEB1C2B"/>
    <w:rsid w:val="10044A9B"/>
    <w:rsid w:val="10890045"/>
    <w:rsid w:val="1131366D"/>
    <w:rsid w:val="11421D1E"/>
    <w:rsid w:val="11CD5BB7"/>
    <w:rsid w:val="12103BCB"/>
    <w:rsid w:val="124F46F3"/>
    <w:rsid w:val="12810624"/>
    <w:rsid w:val="139A7BF0"/>
    <w:rsid w:val="149208C7"/>
    <w:rsid w:val="14D62EA9"/>
    <w:rsid w:val="14ED2FA2"/>
    <w:rsid w:val="152754B3"/>
    <w:rsid w:val="156264EB"/>
    <w:rsid w:val="15DD0268"/>
    <w:rsid w:val="164E4CC1"/>
    <w:rsid w:val="16685D83"/>
    <w:rsid w:val="16BA193F"/>
    <w:rsid w:val="16F5338F"/>
    <w:rsid w:val="170535D2"/>
    <w:rsid w:val="175FF5FD"/>
    <w:rsid w:val="17885FB1"/>
    <w:rsid w:val="17EC599E"/>
    <w:rsid w:val="18582AC5"/>
    <w:rsid w:val="18CD6371"/>
    <w:rsid w:val="19362169"/>
    <w:rsid w:val="1A8B0292"/>
    <w:rsid w:val="1AA2382E"/>
    <w:rsid w:val="1BF979E6"/>
    <w:rsid w:val="1CBB4733"/>
    <w:rsid w:val="1D2B7B0B"/>
    <w:rsid w:val="1D69418F"/>
    <w:rsid w:val="1D886D0B"/>
    <w:rsid w:val="1DBE097F"/>
    <w:rsid w:val="1E8F5E77"/>
    <w:rsid w:val="1E917E41"/>
    <w:rsid w:val="1EE2069D"/>
    <w:rsid w:val="1EEC32CA"/>
    <w:rsid w:val="1F2B3DF2"/>
    <w:rsid w:val="1F2B5BA0"/>
    <w:rsid w:val="1F574BE7"/>
    <w:rsid w:val="1FAB6CE1"/>
    <w:rsid w:val="1FC9549E"/>
    <w:rsid w:val="20256A93"/>
    <w:rsid w:val="203F5E7C"/>
    <w:rsid w:val="20531852"/>
    <w:rsid w:val="205B0707"/>
    <w:rsid w:val="20C22534"/>
    <w:rsid w:val="21470C8B"/>
    <w:rsid w:val="223B259E"/>
    <w:rsid w:val="22E9024C"/>
    <w:rsid w:val="23123CE4"/>
    <w:rsid w:val="231F5A1C"/>
    <w:rsid w:val="24237D62"/>
    <w:rsid w:val="247104F9"/>
    <w:rsid w:val="25BD1A38"/>
    <w:rsid w:val="25C74149"/>
    <w:rsid w:val="25E1345C"/>
    <w:rsid w:val="268F2EB8"/>
    <w:rsid w:val="270858F0"/>
    <w:rsid w:val="271B0BF0"/>
    <w:rsid w:val="27C26A1C"/>
    <w:rsid w:val="27E47234"/>
    <w:rsid w:val="285919D0"/>
    <w:rsid w:val="28A41BFF"/>
    <w:rsid w:val="2A1A326A"/>
    <w:rsid w:val="2AA902C1"/>
    <w:rsid w:val="2ADC2444"/>
    <w:rsid w:val="2C3047F6"/>
    <w:rsid w:val="2C730B86"/>
    <w:rsid w:val="2C934D84"/>
    <w:rsid w:val="2E1D349F"/>
    <w:rsid w:val="2EC35DF5"/>
    <w:rsid w:val="2EDC2A13"/>
    <w:rsid w:val="2F4A3E20"/>
    <w:rsid w:val="2FB27C17"/>
    <w:rsid w:val="300F506A"/>
    <w:rsid w:val="30D065A7"/>
    <w:rsid w:val="310B6DA8"/>
    <w:rsid w:val="320D154F"/>
    <w:rsid w:val="32C20171"/>
    <w:rsid w:val="32CE4D68"/>
    <w:rsid w:val="32F43C4F"/>
    <w:rsid w:val="3301513E"/>
    <w:rsid w:val="33042538"/>
    <w:rsid w:val="33CD5020"/>
    <w:rsid w:val="341669C7"/>
    <w:rsid w:val="342F1837"/>
    <w:rsid w:val="34D066BE"/>
    <w:rsid w:val="363D46DF"/>
    <w:rsid w:val="36EC7EB3"/>
    <w:rsid w:val="379320DC"/>
    <w:rsid w:val="38175933"/>
    <w:rsid w:val="388E7474"/>
    <w:rsid w:val="38A87E0A"/>
    <w:rsid w:val="39C66799"/>
    <w:rsid w:val="39F03816"/>
    <w:rsid w:val="3A1514CF"/>
    <w:rsid w:val="3A23599A"/>
    <w:rsid w:val="3A63048C"/>
    <w:rsid w:val="3AA77894"/>
    <w:rsid w:val="3ADB0022"/>
    <w:rsid w:val="3B2E2848"/>
    <w:rsid w:val="3BEB698B"/>
    <w:rsid w:val="3C634773"/>
    <w:rsid w:val="3CB7686D"/>
    <w:rsid w:val="3DC70D32"/>
    <w:rsid w:val="3E500D27"/>
    <w:rsid w:val="3E815385"/>
    <w:rsid w:val="3F6F342F"/>
    <w:rsid w:val="3F8E5FAB"/>
    <w:rsid w:val="3FF97B90"/>
    <w:rsid w:val="414A4154"/>
    <w:rsid w:val="417B60BB"/>
    <w:rsid w:val="423821FE"/>
    <w:rsid w:val="42E3216A"/>
    <w:rsid w:val="42F425C9"/>
    <w:rsid w:val="4392593E"/>
    <w:rsid w:val="43F839F3"/>
    <w:rsid w:val="446C5B48"/>
    <w:rsid w:val="44C411BF"/>
    <w:rsid w:val="45216F7A"/>
    <w:rsid w:val="459C4852"/>
    <w:rsid w:val="459F6E66"/>
    <w:rsid w:val="45BB117C"/>
    <w:rsid w:val="462E5DF2"/>
    <w:rsid w:val="46480463"/>
    <w:rsid w:val="46DA091D"/>
    <w:rsid w:val="473236C0"/>
    <w:rsid w:val="476C2789"/>
    <w:rsid w:val="478F0B12"/>
    <w:rsid w:val="47A50E5C"/>
    <w:rsid w:val="47FE15B1"/>
    <w:rsid w:val="494476DB"/>
    <w:rsid w:val="499917D4"/>
    <w:rsid w:val="4A001853"/>
    <w:rsid w:val="4A0F5F3A"/>
    <w:rsid w:val="4A370FED"/>
    <w:rsid w:val="4A58343D"/>
    <w:rsid w:val="4B944949"/>
    <w:rsid w:val="4BBE3774"/>
    <w:rsid w:val="4BE551A5"/>
    <w:rsid w:val="4C7B10AA"/>
    <w:rsid w:val="4D87403A"/>
    <w:rsid w:val="4DE3517A"/>
    <w:rsid w:val="4ED908C5"/>
    <w:rsid w:val="4FD44B11"/>
    <w:rsid w:val="502913D8"/>
    <w:rsid w:val="50D50C89"/>
    <w:rsid w:val="50E61077"/>
    <w:rsid w:val="516C4438"/>
    <w:rsid w:val="51D535C6"/>
    <w:rsid w:val="523E560F"/>
    <w:rsid w:val="527728CF"/>
    <w:rsid w:val="527903F5"/>
    <w:rsid w:val="53596D3C"/>
    <w:rsid w:val="53C2401E"/>
    <w:rsid w:val="545F7ABE"/>
    <w:rsid w:val="548B440F"/>
    <w:rsid w:val="555667CB"/>
    <w:rsid w:val="55967510"/>
    <w:rsid w:val="55AE6607"/>
    <w:rsid w:val="55C51BA3"/>
    <w:rsid w:val="55C7591B"/>
    <w:rsid w:val="55DD513F"/>
    <w:rsid w:val="560C77D2"/>
    <w:rsid w:val="565019E7"/>
    <w:rsid w:val="572D17AE"/>
    <w:rsid w:val="57607DD5"/>
    <w:rsid w:val="58535244"/>
    <w:rsid w:val="58B54151"/>
    <w:rsid w:val="59590F80"/>
    <w:rsid w:val="59941FB8"/>
    <w:rsid w:val="5A403EEE"/>
    <w:rsid w:val="5A4C4641"/>
    <w:rsid w:val="5A52765A"/>
    <w:rsid w:val="5A6776CD"/>
    <w:rsid w:val="5AC32B55"/>
    <w:rsid w:val="5B3A3733"/>
    <w:rsid w:val="5B773940"/>
    <w:rsid w:val="5B9462A0"/>
    <w:rsid w:val="5BBE156E"/>
    <w:rsid w:val="5BE03293"/>
    <w:rsid w:val="5D096819"/>
    <w:rsid w:val="5D2C42B6"/>
    <w:rsid w:val="5DF50B4C"/>
    <w:rsid w:val="5E437B09"/>
    <w:rsid w:val="5E8C001D"/>
    <w:rsid w:val="5F3B723E"/>
    <w:rsid w:val="5F990328"/>
    <w:rsid w:val="609805E0"/>
    <w:rsid w:val="621F43E9"/>
    <w:rsid w:val="62D41677"/>
    <w:rsid w:val="62E23D94"/>
    <w:rsid w:val="638135AD"/>
    <w:rsid w:val="63C33BC6"/>
    <w:rsid w:val="63D556A7"/>
    <w:rsid w:val="63E853DA"/>
    <w:rsid w:val="64081146"/>
    <w:rsid w:val="640E2967"/>
    <w:rsid w:val="64326656"/>
    <w:rsid w:val="644B63D9"/>
    <w:rsid w:val="65530F79"/>
    <w:rsid w:val="6578453C"/>
    <w:rsid w:val="65B512EC"/>
    <w:rsid w:val="666845B1"/>
    <w:rsid w:val="66F347C2"/>
    <w:rsid w:val="670047E9"/>
    <w:rsid w:val="677D0530"/>
    <w:rsid w:val="68134B3F"/>
    <w:rsid w:val="68882CE8"/>
    <w:rsid w:val="68F760C0"/>
    <w:rsid w:val="691B590A"/>
    <w:rsid w:val="69220B2A"/>
    <w:rsid w:val="69561038"/>
    <w:rsid w:val="69831701"/>
    <w:rsid w:val="6994393A"/>
    <w:rsid w:val="69E5416A"/>
    <w:rsid w:val="6A0E1913"/>
    <w:rsid w:val="6A5F5CCB"/>
    <w:rsid w:val="6B39651C"/>
    <w:rsid w:val="6BA75B7B"/>
    <w:rsid w:val="6BC77FCB"/>
    <w:rsid w:val="6C615D2A"/>
    <w:rsid w:val="6C7672FB"/>
    <w:rsid w:val="6D2356D5"/>
    <w:rsid w:val="6DB63E53"/>
    <w:rsid w:val="6DBE7829"/>
    <w:rsid w:val="6E484A84"/>
    <w:rsid w:val="6F0D12E0"/>
    <w:rsid w:val="71ED0060"/>
    <w:rsid w:val="72281098"/>
    <w:rsid w:val="725A3947"/>
    <w:rsid w:val="72BB015E"/>
    <w:rsid w:val="7440091B"/>
    <w:rsid w:val="75530B22"/>
    <w:rsid w:val="75C8506C"/>
    <w:rsid w:val="76764AC8"/>
    <w:rsid w:val="76A41635"/>
    <w:rsid w:val="775841CD"/>
    <w:rsid w:val="785E75AD"/>
    <w:rsid w:val="786372CE"/>
    <w:rsid w:val="799040F2"/>
    <w:rsid w:val="79B24069"/>
    <w:rsid w:val="7AB7745D"/>
    <w:rsid w:val="7B3665D4"/>
    <w:rsid w:val="7B8E01BE"/>
    <w:rsid w:val="7D6F401F"/>
    <w:rsid w:val="7DCC76C3"/>
    <w:rsid w:val="7DEE3196"/>
    <w:rsid w:val="7F437511"/>
    <w:rsid w:val="7F9E703C"/>
    <w:rsid w:val="7F9F508F"/>
    <w:rsid w:val="7FE231CE"/>
    <w:rsid w:val="7FF151BF"/>
    <w:rsid w:val="9BAB7850"/>
    <w:rsid w:val="EAFFF69C"/>
    <w:rsid w:val="EED3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rFonts w:ascii="宋体"/>
      <w:sz w:val="24"/>
    </w:rPr>
  </w:style>
  <w:style w:type="paragraph" w:styleId="5">
    <w:name w:val="Balloon Text"/>
    <w:basedOn w:val="1"/>
    <w:link w:val="21"/>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页眉 Char"/>
    <w:link w:val="7"/>
    <w:qFormat/>
    <w:uiPriority w:val="0"/>
    <w:rPr>
      <w:kern w:val="2"/>
      <w:sz w:val="18"/>
      <w:szCs w:val="18"/>
    </w:rPr>
  </w:style>
  <w:style w:type="character" w:customStyle="1" w:styleId="16">
    <w:name w:val="页脚 Char"/>
    <w:link w:val="6"/>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2"/>
    <w:link w:val="3"/>
    <w:qFormat/>
    <w:uiPriority w:val="0"/>
    <w:rPr>
      <w:kern w:val="2"/>
      <w:sz w:val="21"/>
    </w:rPr>
  </w:style>
  <w:style w:type="character" w:customStyle="1" w:styleId="20">
    <w:name w:val="批注主题 Char"/>
    <w:basedOn w:val="19"/>
    <w:link w:val="9"/>
    <w:qFormat/>
    <w:uiPriority w:val="0"/>
    <w:rPr>
      <w:b/>
      <w:bCs/>
      <w:kern w:val="2"/>
      <w:sz w:val="21"/>
    </w:rPr>
  </w:style>
  <w:style w:type="character" w:customStyle="1" w:styleId="21">
    <w:name w:val="批注框文本 Char"/>
    <w:basedOn w:val="12"/>
    <w:link w:val="5"/>
    <w:qFormat/>
    <w:uiPriority w:val="0"/>
    <w:rPr>
      <w:kern w:val="2"/>
      <w:sz w:val="18"/>
      <w:szCs w:val="18"/>
    </w:rPr>
  </w:style>
  <w:style w:type="character" w:customStyle="1" w:styleId="22">
    <w:name w:val="标题 2 Char"/>
    <w:basedOn w:val="12"/>
    <w:link w:val="2"/>
    <w:qFormat/>
    <w:uiPriority w:val="9"/>
    <w:rPr>
      <w:rFonts w:ascii="宋体" w:hAnsi="宋体" w:cs="宋体"/>
      <w:b/>
      <w:bCs/>
      <w:sz w:val="36"/>
      <w:szCs w:val="36"/>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SIPO</Company>
  <Pages>46</Pages>
  <Words>10108</Words>
  <Characters>10299</Characters>
  <Lines>629</Lines>
  <Paragraphs>78</Paragraphs>
  <TotalTime>78</TotalTime>
  <ScaleCrop>false</ScaleCrop>
  <LinksUpToDate>false</LinksUpToDate>
  <CharactersWithSpaces>17051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2023-02-23T07:07:00Z</dcterms:created>
  <dc:creator>SIPO-AUTO</dc:creator>
  <cp:lastModifiedBy>浏家小妞拉大锯</cp:lastModifiedBy>
  <dcterms:modified xsi:type="dcterms:W3CDTF">2025-05-21T01:52:21Z</dcterms:modified>
  <dc:title>专利实施许可合同</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C725BCF937AB40779BC79BDF4C864F4E</vt:lpwstr>
  </property>
  <property fmtid="{D5CDD505-2E9C-101B-9397-08002B2CF9AE}" pid="4" name="KSOTemplateDocerSaveRecord">
    <vt:lpwstr>eyJoZGlkIjoiNWM1YzJjYWM5NDM2ZWZhNjE0OWMwZGZiYjAwYjZlMDEiLCJ1c2VySWQiOiIyODc2OTAyMDEifQ==</vt:lpwstr>
  </property>
</Properties>
</file>