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福建省行业技术开发基地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认定评价指标体系</w:t>
      </w:r>
    </w:p>
    <w:tbl>
      <w:tblPr>
        <w:tblStyle w:val="4"/>
        <w:tblW w:w="10125" w:type="dxa"/>
        <w:tblInd w:w="-3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842"/>
        <w:gridCol w:w="2956"/>
        <w:gridCol w:w="854"/>
        <w:gridCol w:w="4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8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一级指标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权重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二级指标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权重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发展规划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发展规划与年度计划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制定发展目标具体、建设内容明确、保障措施有效的近中期发展规划，有具体可操作的年度工作计划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38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运行管理</w:t>
            </w:r>
          </w:p>
        </w:tc>
        <w:tc>
          <w:tcPr>
            <w:tcW w:w="842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组织架构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机构设置合理，分工明确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运行管理模式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建立科研项目管理、科技成果转化、考核办法、基地建设和运行所必要的经费筹措等运行管理制度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基础条件</w:t>
            </w:r>
          </w:p>
        </w:tc>
        <w:tc>
          <w:tcPr>
            <w:tcW w:w="842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科研设备、仪器原值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≥800万元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办公、研究场所建筑面积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≥1000㎡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人才结构</w:t>
            </w:r>
          </w:p>
        </w:tc>
        <w:tc>
          <w:tcPr>
            <w:tcW w:w="842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中级以上教师\科研人员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≥30人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其中：高级教师\科研人员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≥10人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科研成果</w:t>
            </w:r>
          </w:p>
        </w:tc>
        <w:tc>
          <w:tcPr>
            <w:tcW w:w="842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16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全部有效专利数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≥10项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6" w:type="dxa"/>
            <w:noWrap w:val="0"/>
            <w:vAlign w:val="center"/>
          </w:tcPr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当年专利申请受理数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6" w:type="dxa"/>
            <w:noWrap w:val="0"/>
            <w:vAlign w:val="center"/>
          </w:tcPr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近三年科技成果获奖项数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行业贡献</w:t>
            </w:r>
          </w:p>
        </w:tc>
        <w:tc>
          <w:tcPr>
            <w:tcW w:w="842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46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产学研合作项目数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≥3项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技术成果转移转化数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≥2项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培养培训行业企业人才数量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≥30人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其他技术服务合同数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≥4项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行业共性关键技术攻关数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新产品、新技术、新工艺数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≥2项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加分项目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近三年参与编制修订标准数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4093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≥1项</w:t>
            </w:r>
          </w:p>
        </w:tc>
      </w:tr>
    </w:tbl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说明：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1．表中所有指标的时间范围，如无特殊说明，均为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</w:rPr>
        <w:t>度。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2．限定性指标的最低标准 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（1）全部有效专利数不少于10项；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（2）中级以上教师\科研人员不少于30人，其中高级教师\科研人员不少于10人；</w:t>
      </w:r>
    </w:p>
    <w:p>
      <w:pPr>
        <w:adjustRightInd w:val="0"/>
        <w:snapToGrid w:val="0"/>
        <w:spacing w:line="560" w:lineRule="exact"/>
        <w:ind w:firstLine="63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（3）科研设备仪器原值不低于800万元；办公、研究场所面积不低于1000平方米。</w:t>
      </w:r>
    </w:p>
    <w:p/>
    <w:sectPr>
      <w:footerReference r:id="rId3" w:type="default"/>
      <w:footerReference r:id="rId4" w:type="even"/>
      <w:pgSz w:w="11906" w:h="16838"/>
      <w:pgMar w:top="1531" w:right="1474" w:bottom="1531" w:left="1474" w:header="851" w:footer="992" w:gutter="0"/>
      <w:pgNumType w:fmt="numberInDash"/>
      <w:cols w:space="720" w:num="1"/>
      <w:rtlGutter w:val="0"/>
      <w:docGrid w:type="lines" w:linePitch="6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panose1 w:val="020B0704020202020204"/>
    <w:charset w:val="00"/>
    <w:family w:val="auto"/>
    <w:pitch w:val="default"/>
    <w:sig w:usb0="E0002AFF" w:usb1="C0007843" w:usb2="00000009" w:usb3="00000000" w:csb0="400001FF" w:csb1="F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F93978A"/>
    <w:rsid w:val="AF93978A"/>
    <w:rsid w:val="FFBDB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unhideWhenUsed/>
    <w:qFormat/>
    <w:uiPriority w:val="99"/>
  </w:style>
  <w:style w:type="paragraph" w:customStyle="1" w:styleId="7">
    <w:name w:val=" Char Char Char Char Char Char"/>
    <w:basedOn w:val="1"/>
    <w:qFormat/>
    <w:uiPriority w:val="0"/>
    <w:rPr>
      <w:rFonts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2022-12-05T17:26:00Z</dcterms:created>
  <dc:creator>null</dc:creator>
  <cp:lastModifiedBy>陈梅</cp:lastModifiedBy>
  <dcterms:modified xsi:type="dcterms:W3CDTF">2025-11-20T17:13:34Z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